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Quarterly budget note.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This sentence carries a footnote</w:t>
      </w:r>
      <w:r>
        <w:rPr>
          <w:rStyle w:val="FootnoteReference"/>
          <w:rFonts w:ascii="Calibri" w:hAnsi="Calibri"/>
        </w:rPr>
        <w:footnoteReference w:id="2"/>
      </w:r>
      <w:r>
        <w:rPr>
          <w:rFonts w:ascii="Calibri" w:hAnsi="Calibri"/>
        </w:rPr>
        <w:t xml:space="preserve"> and keeps going.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A second line carries a second note</w:t>
      </w:r>
      <w:r>
        <w:rPr>
          <w:rStyle w:val="FootnoteReference"/>
          <w:rFonts w:ascii="Calibri" w:hAnsi="Calibri"/>
        </w:rPr>
        <w:footnoteReference w:id="3"/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Last line.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Footnote: the numbers are gross.</w:t>
      </w:r>
    </w:p>
  </w:footnote>
  <w:footnote w:id="3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Second footnote: see the budget policy.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脚注符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尾注符"/>
    <w:rPr/>
  </w:style>
  <w:style w:type="paragraph" w:styleId="Style16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