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第三季度服务器预算为十二万四千元</w:t>
      </w:r>
    </w:p>
    <mc:AlternateContent>
      <mc:Choice Requires="wps">
        <w:r>
          <w:t>两遍里 Choice 那一遍：季度预算说明</w:t>
        </w:r>
      </mc:Choice>
      <mc:Fallback>
        <w:r>
          <w:t>两遍里 Fallback 那一遍（画布画不出来才走这条）</w:t>
        </w:r>
      </mc:Fallback>
    </mc:AlternateContent>
    <mc:AlternateContent>
      <mc:Choice Requires="w14">
        <w:r>
          <w:t>只写了一遍：这一枚没有 Fallback</w:t>
        </w:r>
      </mc:Choice>
    </mc:AlternateContent>
    <mc:AlternateContent>
      <mc:Choice Requires="wps">
        <w:r>
          <w:t>第一条 Choice</w:t>
        </w:r>
      </mc:Choice>
      <mc:Choice Requires="w14">
        <w:r>
          <w:t>第二条 Choice</w:t>
        </w:r>
      </mc:Choice>
      <mc:Fallback>
        <w:r>
          <w:t>两块 Choice 共用的一份退路</w:t>
        </w:r>
      </mc:Fallback>
    </mc:AlternateContent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