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第三季度服务器预算为十二万四千元</w:t>
      </w:r>
    </w:p>
    <w:p>
      <w:pPr>
        <w:pStyle w:val="Normal"/>
        <w:bidi w:val="0"/>
        <w:rPr/>
      </w:pPr>
      <w:r>
        <w:rPr/>
        <w:drawing>
          <wp:inline distT="0" distB="0" distL="0" distR="0">
            <wp:extent cx="1080135" cy="72009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随字那一段</w:t>
      </w:r>
    </w:p>
    <w:p>
      <w:pPr>
        <w:pStyle w:val="Normal"/>
        <w:bidi w:val="0"/>
        <w:rPr/>
      </w:pPr>
      <w:r>
        <w:drawing>
          <wp:anchor distT="0" distB="75565" distL="0" distR="75565" simplePos="0" relativeHeight="3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1080135" cy="720090"/>
            <wp:effectExtent l="0" t="0" r="0" b="0"/>
            <wp:wrapSquare wrapText="bothSides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绕着的那一段</w:t>
      </w:r>
    </w:p>
    <w:p>
      <w:pPr>
        <w:pStyle w:val="Normal"/>
        <w:bidi w:val="0"/>
        <w:rPr/>
      </w:pPr>
      <w:r>
        <w:rPr/>
        <w:t>按页那一段在前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