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The group leader will submit the deliverable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Traditional systems that focus on singular aspects of restaurant management,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r w:rsidRPr="009252C6">
              <w:t>Oversees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 xml:space="preserve">Develop user manuals, training materials, and support documents to guide end-users in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Internet connectivity will be required at all times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Server Requirements: Cloud-based or on-premise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Local Network Support: Restaurants with on-premise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sends low-stock alerts to designated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lastRenderedPageBreak/>
        <w:t>System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 overtime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lastRenderedPageBreak/>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42026" w14:textId="77777777" w:rsidR="006F6978" w:rsidRDefault="006F6978" w:rsidP="005423A9">
      <w:pPr>
        <w:spacing w:after="0" w:line="240" w:lineRule="auto"/>
      </w:pPr>
      <w:r>
        <w:separator/>
      </w:r>
    </w:p>
  </w:endnote>
  <w:endnote w:type="continuationSeparator" w:id="0">
    <w:p w14:paraId="46A1ED75" w14:textId="77777777" w:rsidR="006F6978" w:rsidRDefault="006F6978" w:rsidP="005423A9">
      <w:pPr>
        <w:spacing w:after="0" w:line="240" w:lineRule="auto"/>
      </w:pPr>
      <w:r>
        <w:continuationSeparator/>
      </w:r>
    </w:p>
  </w:endnote>
  <w:endnote w:type="continuationNotice" w:id="1">
    <w:p w14:paraId="4DD1195D" w14:textId="77777777" w:rsidR="006F6978" w:rsidRDefault="006F69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C4768" w14:textId="77777777" w:rsidR="006F6978" w:rsidRDefault="006F6978" w:rsidP="005423A9">
      <w:pPr>
        <w:spacing w:after="0" w:line="240" w:lineRule="auto"/>
      </w:pPr>
      <w:r>
        <w:separator/>
      </w:r>
    </w:p>
  </w:footnote>
  <w:footnote w:type="continuationSeparator" w:id="0">
    <w:p w14:paraId="1998085D" w14:textId="77777777" w:rsidR="006F6978" w:rsidRDefault="006F6978" w:rsidP="005423A9">
      <w:pPr>
        <w:spacing w:after="0" w:line="240" w:lineRule="auto"/>
      </w:pPr>
      <w:r>
        <w:continuationSeparator/>
      </w:r>
    </w:p>
  </w:footnote>
  <w:footnote w:type="continuationNotice" w:id="1">
    <w:p w14:paraId="3595A283" w14:textId="77777777" w:rsidR="006F6978" w:rsidRDefault="006F69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4"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0"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5"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4"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3"/>
  </w:num>
  <w:num w:numId="4" w16cid:durableId="290404276">
    <w:abstractNumId w:val="37"/>
  </w:num>
  <w:num w:numId="5" w16cid:durableId="1720321722">
    <w:abstractNumId w:val="0"/>
  </w:num>
  <w:num w:numId="6" w16cid:durableId="469132675">
    <w:abstractNumId w:val="59"/>
  </w:num>
  <w:num w:numId="7" w16cid:durableId="891580524">
    <w:abstractNumId w:val="35"/>
  </w:num>
  <w:num w:numId="8" w16cid:durableId="314187570">
    <w:abstractNumId w:val="53"/>
  </w:num>
  <w:num w:numId="9" w16cid:durableId="251933070">
    <w:abstractNumId w:val="118"/>
  </w:num>
  <w:num w:numId="10" w16cid:durableId="1647079484">
    <w:abstractNumId w:val="1"/>
  </w:num>
  <w:num w:numId="11" w16cid:durableId="1467158179">
    <w:abstractNumId w:val="99"/>
  </w:num>
  <w:num w:numId="12" w16cid:durableId="1498691710">
    <w:abstractNumId w:val="57"/>
  </w:num>
  <w:num w:numId="13" w16cid:durableId="2065595443">
    <w:abstractNumId w:val="5"/>
  </w:num>
  <w:num w:numId="14" w16cid:durableId="1442994968">
    <w:abstractNumId w:val="94"/>
  </w:num>
  <w:num w:numId="15" w16cid:durableId="101733521">
    <w:abstractNumId w:val="7"/>
  </w:num>
  <w:num w:numId="16" w16cid:durableId="639530955">
    <w:abstractNumId w:val="112"/>
  </w:num>
  <w:num w:numId="17" w16cid:durableId="1681811558">
    <w:abstractNumId w:val="34"/>
  </w:num>
  <w:num w:numId="18" w16cid:durableId="1197504396">
    <w:abstractNumId w:val="76"/>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6"/>
  </w:num>
  <w:num w:numId="24" w16cid:durableId="866216135">
    <w:abstractNumId w:val="71"/>
  </w:num>
  <w:num w:numId="25" w16cid:durableId="1107848944">
    <w:abstractNumId w:val="21"/>
  </w:num>
  <w:num w:numId="26" w16cid:durableId="341862070">
    <w:abstractNumId w:val="20"/>
  </w:num>
  <w:num w:numId="27" w16cid:durableId="123892218">
    <w:abstractNumId w:val="24"/>
  </w:num>
  <w:num w:numId="28" w16cid:durableId="222446418">
    <w:abstractNumId w:val="105"/>
  </w:num>
  <w:num w:numId="29" w16cid:durableId="2120485786">
    <w:abstractNumId w:val="68"/>
  </w:num>
  <w:num w:numId="30" w16cid:durableId="726805693">
    <w:abstractNumId w:val="75"/>
  </w:num>
  <w:num w:numId="31" w16cid:durableId="198711459">
    <w:abstractNumId w:val="52"/>
  </w:num>
  <w:num w:numId="32" w16cid:durableId="1075665768">
    <w:abstractNumId w:val="89"/>
  </w:num>
  <w:num w:numId="33" w16cid:durableId="1736276146">
    <w:abstractNumId w:val="92"/>
  </w:num>
  <w:num w:numId="34" w16cid:durableId="1363436800">
    <w:abstractNumId w:val="25"/>
  </w:num>
  <w:num w:numId="35" w16cid:durableId="726488043">
    <w:abstractNumId w:val="95"/>
  </w:num>
  <w:num w:numId="36" w16cid:durableId="1937246666">
    <w:abstractNumId w:val="109"/>
  </w:num>
  <w:num w:numId="37" w16cid:durableId="1403137809">
    <w:abstractNumId w:val="62"/>
  </w:num>
  <w:num w:numId="38" w16cid:durableId="1956254248">
    <w:abstractNumId w:val="116"/>
  </w:num>
  <w:num w:numId="39" w16cid:durableId="439956080">
    <w:abstractNumId w:val="65"/>
  </w:num>
  <w:num w:numId="40" w16cid:durableId="1989164019">
    <w:abstractNumId w:val="97"/>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69"/>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1"/>
  </w:num>
  <w:num w:numId="53" w16cid:durableId="297226810">
    <w:abstractNumId w:val="72"/>
  </w:num>
  <w:num w:numId="54" w16cid:durableId="1537812467">
    <w:abstractNumId w:val="44"/>
  </w:num>
  <w:num w:numId="55" w16cid:durableId="1074736837">
    <w:abstractNumId w:val="81"/>
  </w:num>
  <w:num w:numId="56" w16cid:durableId="839808212">
    <w:abstractNumId w:val="73"/>
  </w:num>
  <w:num w:numId="57" w16cid:durableId="1921403259">
    <w:abstractNumId w:val="33"/>
  </w:num>
  <w:num w:numId="58" w16cid:durableId="1886864900">
    <w:abstractNumId w:val="41"/>
  </w:num>
  <w:num w:numId="59" w16cid:durableId="1893734090">
    <w:abstractNumId w:val="61"/>
  </w:num>
  <w:num w:numId="60" w16cid:durableId="1126510359">
    <w:abstractNumId w:val="55"/>
  </w:num>
  <w:num w:numId="61" w16cid:durableId="402723266">
    <w:abstractNumId w:val="74"/>
  </w:num>
  <w:num w:numId="62" w16cid:durableId="2015722520">
    <w:abstractNumId w:val="17"/>
  </w:num>
  <w:num w:numId="63" w16cid:durableId="39283307">
    <w:abstractNumId w:val="23"/>
  </w:num>
  <w:num w:numId="64" w16cid:durableId="305941536">
    <w:abstractNumId w:val="22"/>
  </w:num>
  <w:num w:numId="65" w16cid:durableId="1177572287">
    <w:abstractNumId w:val="58"/>
  </w:num>
  <w:num w:numId="66" w16cid:durableId="11692295">
    <w:abstractNumId w:val="78"/>
  </w:num>
  <w:num w:numId="67" w16cid:durableId="1319766369">
    <w:abstractNumId w:val="36"/>
  </w:num>
  <w:num w:numId="68" w16cid:durableId="1306352337">
    <w:abstractNumId w:val="114"/>
  </w:num>
  <w:num w:numId="69" w16cid:durableId="708452800">
    <w:abstractNumId w:val="79"/>
  </w:num>
  <w:num w:numId="70" w16cid:durableId="1196230042">
    <w:abstractNumId w:val="12"/>
  </w:num>
  <w:num w:numId="71" w16cid:durableId="1393965865">
    <w:abstractNumId w:val="51"/>
  </w:num>
  <w:num w:numId="72" w16cid:durableId="1056660786">
    <w:abstractNumId w:val="111"/>
  </w:num>
  <w:num w:numId="73" w16cid:durableId="928733998">
    <w:abstractNumId w:val="87"/>
  </w:num>
  <w:num w:numId="74" w16cid:durableId="1493138586">
    <w:abstractNumId w:val="6"/>
  </w:num>
  <w:num w:numId="75" w16cid:durableId="1984197124">
    <w:abstractNumId w:val="117"/>
  </w:num>
  <w:num w:numId="76" w16cid:durableId="2047244491">
    <w:abstractNumId w:val="14"/>
  </w:num>
  <w:num w:numId="77" w16cid:durableId="1597010948">
    <w:abstractNumId w:val="54"/>
  </w:num>
  <w:num w:numId="78" w16cid:durableId="1453792850">
    <w:abstractNumId w:val="100"/>
  </w:num>
  <w:num w:numId="79" w16cid:durableId="161504532">
    <w:abstractNumId w:val="107"/>
  </w:num>
  <w:num w:numId="80" w16cid:durableId="1992171060">
    <w:abstractNumId w:val="70"/>
  </w:num>
  <w:num w:numId="81" w16cid:durableId="1148321885">
    <w:abstractNumId w:val="47"/>
  </w:num>
  <w:num w:numId="82" w16cid:durableId="556283402">
    <w:abstractNumId w:val="80"/>
  </w:num>
  <w:num w:numId="83" w16cid:durableId="1513490172">
    <w:abstractNumId w:val="77"/>
  </w:num>
  <w:num w:numId="84" w16cid:durableId="1862166739">
    <w:abstractNumId w:val="29"/>
  </w:num>
  <w:num w:numId="85" w16cid:durableId="970746850">
    <w:abstractNumId w:val="56"/>
  </w:num>
  <w:num w:numId="86" w16cid:durableId="875695623">
    <w:abstractNumId w:val="67"/>
  </w:num>
  <w:num w:numId="87" w16cid:durableId="1298995832">
    <w:abstractNumId w:val="66"/>
  </w:num>
  <w:num w:numId="88" w16cid:durableId="773480280">
    <w:abstractNumId w:val="3"/>
  </w:num>
  <w:num w:numId="89" w16cid:durableId="1796555439">
    <w:abstractNumId w:val="101"/>
  </w:num>
  <w:num w:numId="90" w16cid:durableId="1744715693">
    <w:abstractNumId w:val="39"/>
  </w:num>
  <w:num w:numId="91" w16cid:durableId="326443079">
    <w:abstractNumId w:val="96"/>
  </w:num>
  <w:num w:numId="92" w16cid:durableId="1132744800">
    <w:abstractNumId w:val="45"/>
  </w:num>
  <w:num w:numId="93" w16cid:durableId="1281261100">
    <w:abstractNumId w:val="32"/>
  </w:num>
  <w:num w:numId="94" w16cid:durableId="2123259644">
    <w:abstractNumId w:val="102"/>
  </w:num>
  <w:num w:numId="95" w16cid:durableId="2025938457">
    <w:abstractNumId w:val="108"/>
  </w:num>
  <w:num w:numId="96" w16cid:durableId="1998995839">
    <w:abstractNumId w:val="106"/>
  </w:num>
  <w:num w:numId="97" w16cid:durableId="2021157908">
    <w:abstractNumId w:val="60"/>
  </w:num>
  <w:num w:numId="98" w16cid:durableId="136262311">
    <w:abstractNumId w:val="11"/>
  </w:num>
  <w:num w:numId="99" w16cid:durableId="1740864753">
    <w:abstractNumId w:val="90"/>
  </w:num>
  <w:num w:numId="100" w16cid:durableId="1685743181">
    <w:abstractNumId w:val="40"/>
  </w:num>
  <w:num w:numId="101" w16cid:durableId="1301375987">
    <w:abstractNumId w:val="83"/>
  </w:num>
  <w:num w:numId="102" w16cid:durableId="832405225">
    <w:abstractNumId w:val="28"/>
  </w:num>
  <w:num w:numId="103" w16cid:durableId="1167666858">
    <w:abstractNumId w:val="98"/>
  </w:num>
  <w:num w:numId="104" w16cid:durableId="505749507">
    <w:abstractNumId w:val="63"/>
  </w:num>
  <w:num w:numId="105" w16cid:durableId="80104335">
    <w:abstractNumId w:val="115"/>
  </w:num>
  <w:num w:numId="106" w16cid:durableId="37708454">
    <w:abstractNumId w:val="27"/>
  </w:num>
  <w:num w:numId="107" w16cid:durableId="1558785608">
    <w:abstractNumId w:val="103"/>
  </w:num>
  <w:num w:numId="108" w16cid:durableId="347026991">
    <w:abstractNumId w:val="82"/>
  </w:num>
  <w:num w:numId="109" w16cid:durableId="353531403">
    <w:abstractNumId w:val="64"/>
  </w:num>
  <w:num w:numId="110" w16cid:durableId="170921146">
    <w:abstractNumId w:val="48"/>
  </w:num>
  <w:num w:numId="111" w16cid:durableId="1684209699">
    <w:abstractNumId w:val="15"/>
  </w:num>
  <w:num w:numId="112" w16cid:durableId="140655172">
    <w:abstractNumId w:val="43"/>
  </w:num>
  <w:num w:numId="113" w16cid:durableId="2092893880">
    <w:abstractNumId w:val="93"/>
  </w:num>
  <w:num w:numId="114" w16cid:durableId="875430908">
    <w:abstractNumId w:val="46"/>
  </w:num>
  <w:num w:numId="115" w16cid:durableId="186256377">
    <w:abstractNumId w:val="104"/>
  </w:num>
  <w:num w:numId="116" w16cid:durableId="1421560992">
    <w:abstractNumId w:val="88"/>
  </w:num>
  <w:num w:numId="117" w16cid:durableId="138116402">
    <w:abstractNumId w:val="84"/>
  </w:num>
  <w:num w:numId="118" w16cid:durableId="1024405186">
    <w:abstractNumId w:val="110"/>
  </w:num>
  <w:num w:numId="119" w16cid:durableId="1666279893">
    <w:abstractNumId w:val="8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DE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2.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3.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4.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5.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6.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7.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22</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Saad Ghori</cp:lastModifiedBy>
  <cp:revision>122</cp:revision>
  <cp:lastPrinted>2020-05-29T02:05:00Z</cp:lastPrinted>
  <dcterms:created xsi:type="dcterms:W3CDTF">2020-05-29T00:34:00Z</dcterms:created>
  <dcterms:modified xsi:type="dcterms:W3CDTF">2025-02-09T19:41:00Z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