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b/>
          <w:color w:val="0D3265"/>
          <w:sz w:val="36"/>
        </w:rPr>
        <w:t>INTERNATIONAL CYBERSECURITY AND</w:t>
        <w:br/>
        <w:t>DIGITAL FORENSICS ACADEMY</w:t>
      </w:r>
    </w:p>
    <w:p>
      <w:pPr>
        <w:spacing w:after="120"/>
        <w:pBdr>
          <w:bottom w:val="single" w:sz="14" w:space="1" w:color="07ADF6"/>
        </w:pBdr>
      </w:pPr>
    </w:p>
    <w:p>
      <w:pPr>
        <w:jc w:val="center"/>
      </w:pPr>
      <w:r>
        <w:rPr>
          <w:b/>
          <w:color w:val="202020"/>
          <w:sz w:val="44"/>
        </w:rPr>
        <w:t>OFFENSIVE SECURITY OPERATIONS II</w:t>
      </w:r>
    </w:p>
    <w:p>
      <w:pPr>
        <w:spacing w:before="160"/>
        <w:jc w:val="center"/>
      </w:pPr>
      <w:r>
        <w:rPr>
          <w:b/>
          <w:color w:val="0D3265"/>
          <w:sz w:val="60"/>
        </w:rPr>
        <w:t>STUDY MATERIAL</w:t>
      </w:r>
    </w:p>
    <w:p>
      <w:pPr>
        <w:jc w:val="center"/>
      </w:pPr>
      <w:r>
        <w:rPr>
          <w:i/>
          <w:color w:val="5C656E"/>
          <w:sz w:val="22"/>
        </w:rPr>
        <w:t>Reconnaissance, Enumeration, Exploitation Reasoning, Post-Exploitation, Privilege Escalation, Evidence and Reporting</w:t>
      </w:r>
    </w:p>
    <w:p/>
    <w:tbl>
      <w:tblPr>
        <w:tblW w:type="auto" w:w="0"/>
        <w:jc w:val="center"/>
        <w:tblLook w:firstColumn="1" w:firstRow="1" w:lastColumn="0" w:lastRow="0" w:noHBand="0" w:noVBand="1" w:val="04A0"/>
      </w:tblPr>
      <w:tblGrid>
        <w:gridCol w:w="9866"/>
      </w:tblGrid>
      <w:tr>
        <w:trPr>
          <w:cantSplit/>
        </w:trPr>
        <w:tc>
          <w:tcPr>
            <w:tcW w:type="dxa" w:w="9866"/>
            <w:shd w:fill="EAF4FB"/>
            <w:tcMar>
              <w:top w:w="120" w:type="dxa"/>
              <w:start w:w="150" w:type="dxa"/>
              <w:bottom w:w="120" w:type="dxa"/>
              <w:end w:w="150" w:type="dxa"/>
            </w:tcMar>
          </w:tcPr>
          <w:p>
            <w:pPr>
              <w:spacing w:after="40"/>
            </w:pPr>
            <w:r>
              <w:rPr>
                <w:b/>
                <w:color w:val="0D3265"/>
                <w:sz w:val="21"/>
              </w:rPr>
              <w:t>ABOUT THIS MATERIAL</w:t>
            </w:r>
          </w:p>
          <w:p>
            <w:pPr>
              <w:spacing w:after="0"/>
            </w:pPr>
            <w:r>
              <w:rPr>
                <w:sz w:val="20"/>
              </w:rPr>
              <w:t>This document is a learning resource, not an examination brief. It explains the concepts, workflow and professional practices students need for advanced authorised offensive security operations. It intentionally avoids target-specific exploits, credentials, flags, walkthroughs and solution paths.</w:t>
            </w:r>
          </w:p>
        </w:tc>
      </w:tr>
    </w:tbl>
    <w:p>
      <w:pPr>
        <w:spacing w:after="0"/>
      </w:pPr>
    </w:p>
    <w:p>
      <w:pPr>
        <w:spacing w:before="520"/>
        <w:jc w:val="center"/>
      </w:pPr>
      <w:r>
        <w:rPr>
          <w:color w:val="5C656E"/>
          <w:sz w:val="20"/>
        </w:rPr>
        <w:t>Directorate of Training</w:t>
        <w:br/>
        <w:t>International Cybersecurity and Digital Forensics Academy (ICDFA)</w:t>
      </w:r>
    </w:p>
    <w:p>
      <w:r>
        <w:br w:type="page"/>
      </w:r>
    </w:p>
    <w:p>
      <w:pPr>
        <w:pStyle w:val="Heading1"/>
      </w:pPr>
      <w:r>
        <w:t>Course Study Overview</w:t>
      </w:r>
    </w:p>
    <w:p>
      <w:r>
        <w:t>Offensive Security Operations II develops the discipline required to assess intentionally vulnerable systems in a controlled environment. The emphasis is not on memorising exploit commands. It is on understanding the target, forming evidence-based hypotheses, validating weaknesses safely, documenting the attack chain, reaching the highest authorised privilege level where possible, and communicating risk professionally.</w:t>
      </w:r>
    </w:p>
    <w:p>
      <w:pPr>
        <w:pStyle w:val="Heading2"/>
      </w:pPr>
      <w:r>
        <w:t>Core Learning Outcomes</w:t>
      </w:r>
    </w:p>
    <w:p>
      <w:pPr>
        <w:pStyle w:val="ListBullet"/>
        <w:spacing w:after="40"/>
        <w:ind w:left="340" w:hanging="142"/>
      </w:pPr>
      <w:r>
        <w:t>Explain why scope, isolation and Rules of Engagement are fundamental to lawful offensive-security work.</w:t>
      </w:r>
    </w:p>
    <w:p>
      <w:pPr>
        <w:pStyle w:val="ListBullet"/>
        <w:spacing w:after="40"/>
        <w:ind w:left="340" w:hanging="142"/>
      </w:pPr>
      <w:r>
        <w:t>Perform structured target discovery and reconnaissance inside an authorised laboratory.</w:t>
      </w:r>
    </w:p>
    <w:p>
      <w:pPr>
        <w:pStyle w:val="ListBullet"/>
        <w:spacing w:after="40"/>
        <w:ind w:left="340" w:hanging="142"/>
      </w:pPr>
      <w:r>
        <w:t>Enumerate exposed services, technologies and applications systematically rather than relying on one automated scan.</w:t>
      </w:r>
    </w:p>
    <w:p>
      <w:pPr>
        <w:pStyle w:val="ListBullet"/>
        <w:spacing w:after="40"/>
        <w:ind w:left="340" w:hanging="142"/>
      </w:pPr>
      <w:r>
        <w:t>Distinguish verified facts from assumptions and build defensible vulnerability hypotheses.</w:t>
      </w:r>
    </w:p>
    <w:p>
      <w:pPr>
        <w:pStyle w:val="ListBullet"/>
        <w:spacing w:after="40"/>
        <w:ind w:left="340" w:hanging="142"/>
      </w:pPr>
      <w:r>
        <w:t>Explain the purpose of initial access, post-exploitation and privilege escalation in an authorised assessment.</w:t>
      </w:r>
    </w:p>
    <w:p>
      <w:pPr>
        <w:pStyle w:val="ListBullet"/>
        <w:spacing w:after="40"/>
        <w:ind w:left="340" w:hanging="142"/>
      </w:pPr>
      <w:r>
        <w:t>Analyse Linux hosts for privilege boundaries, unsafe permissions, services, scheduled activity and exposed secrets.</w:t>
      </w:r>
    </w:p>
    <w:p>
      <w:pPr>
        <w:pStyle w:val="ListBullet"/>
        <w:spacing w:after="40"/>
        <w:ind w:left="340" w:hanging="142"/>
      </w:pPr>
      <w:r>
        <w:t>Maintain a chronological operator log and preserve evidence with enough context for review.</w:t>
      </w:r>
    </w:p>
    <w:p>
      <w:pPr>
        <w:pStyle w:val="ListBullet"/>
        <w:spacing w:after="40"/>
        <w:ind w:left="340" w:hanging="142"/>
      </w:pPr>
      <w:r>
        <w:t>Convert technical weaknesses into risk statements, remediation actions and executive-level communication.</w:t>
      </w:r>
    </w:p>
    <w:tbl>
      <w:tblPr>
        <w:tblW w:type="auto" w:w="0"/>
        <w:jc w:val="center"/>
        <w:tblLook w:firstColumn="1" w:firstRow="1" w:lastColumn="0" w:lastRow="0" w:noHBand="0" w:noVBand="1" w:val="04A0"/>
      </w:tblPr>
      <w:tblGrid>
        <w:gridCol w:w="9866"/>
      </w:tblGrid>
      <w:tr>
        <w:trPr>
          <w:cantSplit/>
        </w:trPr>
        <w:tc>
          <w:tcPr>
            <w:tcW w:type="dxa" w:w="9866"/>
            <w:shd w:fill="EAF4FB"/>
            <w:tcMar>
              <w:top w:w="120" w:type="dxa"/>
              <w:start w:w="150" w:type="dxa"/>
              <w:bottom w:w="120" w:type="dxa"/>
              <w:end w:w="150" w:type="dxa"/>
            </w:tcMar>
          </w:tcPr>
          <w:p>
            <w:pPr>
              <w:spacing w:after="40"/>
            </w:pPr>
            <w:r>
              <w:rPr>
                <w:b/>
                <w:color w:val="0D3265"/>
                <w:sz w:val="21"/>
              </w:rPr>
              <w:t>KEY PRINCIPLE</w:t>
            </w:r>
          </w:p>
          <w:p>
            <w:pPr>
              <w:spacing w:after="0"/>
            </w:pPr>
            <w:r>
              <w:rPr>
                <w:sz w:val="20"/>
              </w:rPr>
              <w:t>A successful offensive-security practitioner does more than obtain access. The practitioner must be able to explain what was observed, why a test was justified, what the result means, how the evidence was preserved, and how the weakness should be corrected.</w:t>
            </w:r>
          </w:p>
        </w:tc>
      </w:tr>
    </w:tbl>
    <w:p>
      <w:pPr>
        <w:spacing w:after="0"/>
      </w:pPr>
    </w:p>
    <w:p>
      <w:pPr>
        <w:pStyle w:val="Heading1"/>
      </w:pPr>
      <w:r>
        <w:t>Module 1 - Authorisation, Scope and Safe Laboratory Operations</w:t>
      </w:r>
    </w:p>
    <w:p>
      <w:r>
        <w:t>Every offensive-security activity begins with authorisation. Technical capability does not create permission. The operator must know exactly which systems, networks, accounts and actions are in scope before testing begins.</w:t>
      </w:r>
    </w:p>
    <w:p>
      <w:pPr>
        <w:pStyle w:val="Heading2"/>
      </w:pPr>
      <w:r>
        <w:t>1.1 Why Scope Matters</w:t>
      </w:r>
    </w:p>
    <w:p>
      <w:r>
        <w:t>Scope defines the boundary of the assessment. In a training environment, the scope may be a single supplied virtual appliance. Scanning or attacking anything outside that boundary is not part of the exercise, even if another system appears reachable.</w:t>
      </w:r>
    </w:p>
    <w:p>
      <w:pPr>
        <w:pStyle w:val="ListBullet"/>
        <w:spacing w:after="40"/>
        <w:ind w:left="340" w:hanging="142"/>
      </w:pPr>
      <w:r>
        <w:t>Authorisation must identify the allowed target or environment.</w:t>
      </w:r>
    </w:p>
    <w:p>
      <w:pPr>
        <w:pStyle w:val="ListBullet"/>
        <w:spacing w:after="40"/>
        <w:ind w:left="340" w:hanging="142"/>
      </w:pPr>
      <w:r>
        <w:t>The attacker workstation should be separated from production systems.</w:t>
      </w:r>
    </w:p>
    <w:p>
      <w:pPr>
        <w:pStyle w:val="ListBullet"/>
        <w:spacing w:after="40"/>
        <w:ind w:left="340" w:hanging="142"/>
      </w:pPr>
      <w:r>
        <w:t>Vulnerable targets should not be exposed directly to the public Internet.</w:t>
      </w:r>
    </w:p>
    <w:p>
      <w:pPr>
        <w:pStyle w:val="ListBullet"/>
        <w:spacing w:after="40"/>
        <w:ind w:left="340" w:hanging="142"/>
      </w:pPr>
      <w:r>
        <w:t>Destructive denial-of-service and uncontrolled resource exhaustion should be avoided unless specifically authorised.</w:t>
      </w:r>
    </w:p>
    <w:p>
      <w:pPr>
        <w:pStyle w:val="ListBullet"/>
        <w:spacing w:after="40"/>
        <w:ind w:left="340" w:hanging="142"/>
      </w:pPr>
      <w:r>
        <w:t>Real personal, institutional or production data should not be introduced into the lab.</w:t>
      </w:r>
    </w:p>
    <w:p>
      <w:pPr>
        <w:pStyle w:val="ListBullet"/>
        <w:spacing w:after="40"/>
        <w:ind w:left="340" w:hanging="142"/>
      </w:pPr>
      <w:r>
        <w:t>When the operator is uncertain whether a host is in scope, testing should stop until the uncertainty is resolved.</w:t>
      </w:r>
    </w:p>
    <w:p>
      <w:pPr>
        <w:pStyle w:val="Heading2"/>
      </w:pPr>
      <w:r>
        <w:t>1.2 Isolation and Snapshots</w:t>
      </w:r>
    </w:p>
    <w:p>
      <w:r>
        <w:t>Virtualisation makes it possible to build a controlled laboratory using an attacker VM and a vulnerable target VM. Internal or host-only networking keeps the target separated from the public Internet. A clean baseline snapshot gives the operator a known state to restore after the exercise.</w:t>
      </w:r>
    </w:p>
    <w:tbl>
      <w:tblPr>
        <w:tblStyle w:val="TableGrid"/>
        <w:tblW w:type="auto" w:w="0"/>
        <w:jc w:val="center"/>
        <w:tblLook w:firstColumn="1" w:firstRow="1" w:lastColumn="0" w:lastRow="0" w:noHBand="0" w:noVBand="1" w:val="04A0"/>
      </w:tblPr>
      <w:tblGrid>
        <w:gridCol w:w="4933"/>
        <w:gridCol w:w="4933"/>
      </w:tblGrid>
      <w:tr>
        <w:trPr>
          <w:cantSplit/>
        </w:trPr>
        <w:tc>
          <w:tcPr>
            <w:tcW w:type="dxa" w:w="2948"/>
            <w:shd w:fill="0D3265"/>
            <w:tcMar>
              <w:top w:w="90" w:type="dxa"/>
              <w:start w:w="100" w:type="dxa"/>
              <w:bottom w:w="90" w:type="dxa"/>
              <w:end w:w="100" w:type="dxa"/>
            </w:tcMar>
          </w:tcPr>
          <w:p>
            <w:r>
              <w:rPr>
                <w:b/>
                <w:color w:val="FFFFFF"/>
                <w:sz w:val="18"/>
              </w:rPr>
              <w:t>Control</w:t>
            </w:r>
          </w:p>
        </w:tc>
        <w:tc>
          <w:tcPr>
            <w:tcW w:type="dxa" w:w="6917"/>
            <w:shd w:fill="0D3265"/>
            <w:tcMar>
              <w:top w:w="90" w:type="dxa"/>
              <w:start w:w="100" w:type="dxa"/>
              <w:bottom w:w="90" w:type="dxa"/>
              <w:end w:w="100" w:type="dxa"/>
            </w:tcMar>
          </w:tcPr>
          <w:p>
            <w:r>
              <w:rPr>
                <w:b/>
                <w:color w:val="FFFFFF"/>
                <w:sz w:val="18"/>
              </w:rPr>
              <w:t>Purpose</w:t>
            </w:r>
          </w:p>
        </w:tc>
      </w:tr>
      <w:tr>
        <w:trPr>
          <w:cantSplit/>
        </w:trPr>
        <w:tc>
          <w:tcPr>
            <w:tcW w:type="dxa" w:w="2948"/>
            <w:tcMar>
              <w:top w:w="90" w:type="dxa"/>
              <w:start w:w="100" w:type="dxa"/>
              <w:bottom w:w="90" w:type="dxa"/>
              <w:end w:w="100" w:type="dxa"/>
            </w:tcMar>
            <w:vAlign w:val="top"/>
          </w:tcPr>
          <w:p>
            <w:pPr>
              <w:spacing w:after="0"/>
            </w:pPr>
            <w:r>
              <w:rPr>
                <w:sz w:val="18"/>
              </w:rPr>
              <w:t>Internal/Host-Only Network</w:t>
            </w:r>
          </w:p>
        </w:tc>
        <w:tc>
          <w:tcPr>
            <w:tcW w:type="dxa" w:w="6917"/>
            <w:tcMar>
              <w:top w:w="90" w:type="dxa"/>
              <w:start w:w="100" w:type="dxa"/>
              <w:bottom w:w="90" w:type="dxa"/>
              <w:end w:w="100" w:type="dxa"/>
            </w:tcMar>
            <w:vAlign w:val="top"/>
          </w:tcPr>
          <w:p>
            <w:pPr>
              <w:spacing w:after="0"/>
            </w:pPr>
            <w:r>
              <w:rPr>
                <w:sz w:val="18"/>
              </w:rPr>
              <w:t>Keeps vulnerable systems inside the authorised laboratory boundary.</w:t>
            </w:r>
          </w:p>
        </w:tc>
      </w:tr>
      <w:tr>
        <w:trPr>
          <w:cantSplit/>
        </w:trPr>
        <w:tc>
          <w:tcPr>
            <w:tcW w:type="dxa" w:w="2948"/>
            <w:shd w:fill="F7FAFC"/>
            <w:tcMar>
              <w:top w:w="90" w:type="dxa"/>
              <w:start w:w="100" w:type="dxa"/>
              <w:bottom w:w="90" w:type="dxa"/>
              <w:end w:w="100" w:type="dxa"/>
            </w:tcMar>
            <w:vAlign w:val="top"/>
          </w:tcPr>
          <w:p>
            <w:pPr>
              <w:spacing w:after="0"/>
            </w:pPr>
            <w:r>
              <w:rPr>
                <w:sz w:val="18"/>
              </w:rPr>
              <w:t>Clean Snapshot</w:t>
            </w:r>
          </w:p>
        </w:tc>
        <w:tc>
          <w:tcPr>
            <w:tcW w:type="dxa" w:w="6917"/>
            <w:shd w:fill="F7FAFC"/>
            <w:tcMar>
              <w:top w:w="90" w:type="dxa"/>
              <w:start w:w="100" w:type="dxa"/>
              <w:bottom w:w="90" w:type="dxa"/>
              <w:end w:w="100" w:type="dxa"/>
            </w:tcMar>
            <w:vAlign w:val="top"/>
          </w:tcPr>
          <w:p>
            <w:pPr>
              <w:spacing w:after="0"/>
            </w:pPr>
            <w:r>
              <w:rPr>
                <w:sz w:val="18"/>
              </w:rPr>
              <w:t>Allows recovery after configuration changes, crashes or authorised exploitation.</w:t>
            </w:r>
          </w:p>
        </w:tc>
      </w:tr>
      <w:tr>
        <w:trPr>
          <w:cantSplit/>
        </w:trPr>
        <w:tc>
          <w:tcPr>
            <w:tcW w:type="dxa" w:w="2948"/>
            <w:tcMar>
              <w:top w:w="90" w:type="dxa"/>
              <w:start w:w="100" w:type="dxa"/>
              <w:bottom w:w="90" w:type="dxa"/>
              <w:end w:w="100" w:type="dxa"/>
            </w:tcMar>
            <w:vAlign w:val="top"/>
          </w:tcPr>
          <w:p>
            <w:pPr>
              <w:spacing w:after="0"/>
            </w:pPr>
            <w:r>
              <w:rPr>
                <w:sz w:val="18"/>
              </w:rPr>
              <w:t>Evidence Directory</w:t>
            </w:r>
          </w:p>
        </w:tc>
        <w:tc>
          <w:tcPr>
            <w:tcW w:type="dxa" w:w="6917"/>
            <w:tcMar>
              <w:top w:w="90" w:type="dxa"/>
              <w:start w:w="100" w:type="dxa"/>
              <w:bottom w:w="90" w:type="dxa"/>
              <w:end w:w="100" w:type="dxa"/>
            </w:tcMar>
            <w:vAlign w:val="top"/>
          </w:tcPr>
          <w:p>
            <w:pPr>
              <w:spacing w:after="0"/>
            </w:pPr>
            <w:r>
              <w:rPr>
                <w:sz w:val="18"/>
              </w:rPr>
              <w:t>Separates investigation evidence from ordinary workstation files.</w:t>
            </w:r>
          </w:p>
        </w:tc>
      </w:tr>
      <w:tr>
        <w:trPr>
          <w:cantSplit/>
        </w:trPr>
        <w:tc>
          <w:tcPr>
            <w:tcW w:type="dxa" w:w="2948"/>
            <w:shd w:fill="F7FAFC"/>
            <w:tcMar>
              <w:top w:w="90" w:type="dxa"/>
              <w:start w:w="100" w:type="dxa"/>
              <w:bottom w:w="90" w:type="dxa"/>
              <w:end w:w="100" w:type="dxa"/>
            </w:tcMar>
            <w:vAlign w:val="top"/>
          </w:tcPr>
          <w:p>
            <w:pPr>
              <w:spacing w:after="0"/>
            </w:pPr>
            <w:r>
              <w:rPr>
                <w:sz w:val="18"/>
              </w:rPr>
              <w:t>Operator Log</w:t>
            </w:r>
          </w:p>
        </w:tc>
        <w:tc>
          <w:tcPr>
            <w:tcW w:type="dxa" w:w="6917"/>
            <w:shd w:fill="F7FAFC"/>
            <w:tcMar>
              <w:top w:w="90" w:type="dxa"/>
              <w:start w:w="100" w:type="dxa"/>
              <w:bottom w:w="90" w:type="dxa"/>
              <w:end w:w="100" w:type="dxa"/>
            </w:tcMar>
            <w:vAlign w:val="top"/>
          </w:tcPr>
          <w:p>
            <w:pPr>
              <w:spacing w:after="0"/>
            </w:pPr>
            <w:r>
              <w:rPr>
                <w:sz w:val="18"/>
              </w:rPr>
              <w:t>Creates a chronological record of actions, observations and decisions.</w:t>
            </w:r>
          </w:p>
        </w:tc>
      </w:tr>
    </w:tbl>
    <w:p>
      <w:pPr>
        <w:spacing w:after="0"/>
      </w:pPr>
    </w:p>
    <w:p>
      <w:pPr>
        <w:pStyle w:val="Heading2"/>
      </w:pPr>
      <w:r>
        <w:t>Study Check</w:t>
      </w:r>
    </w:p>
    <w:p>
      <w:pPr>
        <w:pStyle w:val="ListNumber"/>
        <w:spacing w:after="60"/>
      </w:pPr>
      <w:r>
        <w:t>What is the difference between technical reachability and authorised scope?</w:t>
      </w:r>
    </w:p>
    <w:p>
      <w:pPr>
        <w:pStyle w:val="ListNumber"/>
        <w:spacing w:after="60"/>
      </w:pPr>
      <w:r>
        <w:t>Why should an intentionally vulnerable target not be bridged directly to a production or public network?</w:t>
      </w:r>
    </w:p>
    <w:p>
      <w:pPr>
        <w:pStyle w:val="ListNumber"/>
        <w:spacing w:after="60"/>
      </w:pPr>
      <w:r>
        <w:t>What problem does a clean baseline snapshot solve?</w:t>
      </w:r>
    </w:p>
    <w:p>
      <w:pPr>
        <w:pStyle w:val="Heading1"/>
      </w:pPr>
      <w:r>
        <w:t>Module 2 - Reconnaissance and Target Discovery</w:t>
      </w:r>
    </w:p>
    <w:p>
      <w:r>
        <w:t>Reconnaissance is the disciplined process of learning enough about the environment to identify the authorised target and plan deeper analysis. In a black-box exercise, the target address may not be provided, so discovery becomes part of the assessment.</w:t>
      </w:r>
    </w:p>
    <w:p>
      <w:pPr>
        <w:pStyle w:val="Heading2"/>
      </w:pPr>
      <w:r>
        <w:t>2.1 Questions Reconnaissance Should Answer</w:t>
      </w:r>
    </w:p>
    <w:p>
      <w:pPr>
        <w:pStyle w:val="ListBullet"/>
        <w:spacing w:after="40"/>
        <w:ind w:left="340" w:hanging="142"/>
      </w:pPr>
      <w:r>
        <w:t>Which host inside the isolated laboratory is the intended target?</w:t>
      </w:r>
    </w:p>
    <w:p>
      <w:pPr>
        <w:pStyle w:val="ListBullet"/>
        <w:spacing w:after="40"/>
        <w:ind w:left="340" w:hanging="142"/>
      </w:pPr>
      <w:r>
        <w:t>What network characteristics distinguish the target from the attacker system?</w:t>
      </w:r>
    </w:p>
    <w:p>
      <w:pPr>
        <w:pStyle w:val="ListBullet"/>
        <w:spacing w:after="40"/>
        <w:ind w:left="340" w:hanging="142"/>
      </w:pPr>
      <w:r>
        <w:t>Is the target reachable and stable?</w:t>
      </w:r>
    </w:p>
    <w:p>
      <w:pPr>
        <w:pStyle w:val="ListBullet"/>
        <w:spacing w:after="40"/>
        <w:ind w:left="340" w:hanging="142"/>
      </w:pPr>
      <w:r>
        <w:t>What evidence confirms that the discovered system is the supplied training appliance?</w:t>
      </w:r>
    </w:p>
    <w:p>
      <w:pPr>
        <w:pStyle w:val="ListBullet"/>
        <w:spacing w:after="40"/>
        <w:ind w:left="340" w:hanging="142"/>
      </w:pPr>
      <w:r>
        <w:t>Which observations are facts and which are assumptions that still need validation?</w:t>
      </w:r>
    </w:p>
    <w:p>
      <w:pPr>
        <w:pStyle w:val="Heading2"/>
      </w:pPr>
      <w:r>
        <w:t>2.2 Avoiding False Positives</w:t>
      </w:r>
    </w:p>
    <w:p>
      <w:r>
        <w:t>A discovery result should not be accepted blindly. Virtual networks can contain management interfaces, DHCP services or other local components. The operator should verify that a discovered address corresponds to the target before deeper probing.</w:t>
      </w:r>
    </w:p>
    <w:tbl>
      <w:tblPr>
        <w:tblW w:type="auto" w:w="0"/>
        <w:jc w:val="center"/>
        <w:tblLook w:firstColumn="1" w:firstRow="1" w:lastColumn="0" w:lastRow="0" w:noHBand="0" w:noVBand="1" w:val="04A0"/>
      </w:tblPr>
      <w:tblGrid>
        <w:gridCol w:w="9866"/>
      </w:tblGrid>
      <w:tr>
        <w:trPr>
          <w:cantSplit/>
        </w:trPr>
        <w:tc>
          <w:tcPr>
            <w:tcW w:type="dxa" w:w="9866"/>
            <w:shd w:fill="EAF4FB"/>
            <w:tcMar>
              <w:top w:w="120" w:type="dxa"/>
              <w:start w:w="150" w:type="dxa"/>
              <w:bottom w:w="120" w:type="dxa"/>
              <w:end w:w="150" w:type="dxa"/>
            </w:tcMar>
          </w:tcPr>
          <w:p>
            <w:pPr>
              <w:spacing w:after="40"/>
            </w:pPr>
            <w:r>
              <w:rPr>
                <w:b/>
                <w:color w:val="0D3265"/>
                <w:sz w:val="21"/>
              </w:rPr>
              <w:t>RECONNAISSANCE MINDSET</w:t>
            </w:r>
          </w:p>
          <w:p>
            <w:pPr>
              <w:spacing w:after="0"/>
            </w:pPr>
            <w:r>
              <w:rPr>
                <w:sz w:val="20"/>
              </w:rPr>
              <w:t>Discovery is not simply “find an IP address.” It is the process of establishing confidence that the system being tested is the authorised target and documenting how that conclusion was reached.</w:t>
            </w:r>
          </w:p>
        </w:tc>
      </w:tr>
    </w:tbl>
    <w:p>
      <w:pPr>
        <w:spacing w:after="0"/>
      </w:pPr>
    </w:p>
    <w:p>
      <w:pPr>
        <w:pStyle w:val="Heading2"/>
      </w:pPr>
      <w:r>
        <w:t>Study Check</w:t>
      </w:r>
    </w:p>
    <w:p>
      <w:pPr>
        <w:pStyle w:val="ListNumber"/>
        <w:spacing w:after="60"/>
      </w:pPr>
      <w:r>
        <w:t>Why is target identification part of evidence quality?</w:t>
      </w:r>
    </w:p>
    <w:p>
      <w:pPr>
        <w:pStyle w:val="ListNumber"/>
        <w:spacing w:after="60"/>
      </w:pPr>
      <w:r>
        <w:t>What could go wrong if an operator starts scanning the first responsive host without verification?</w:t>
      </w:r>
    </w:p>
    <w:p>
      <w:pPr>
        <w:pStyle w:val="Heading1"/>
      </w:pPr>
      <w:r>
        <w:t>Module 3 - Attack-Surface Enumeration</w:t>
      </w:r>
    </w:p>
    <w:p>
      <w:r>
        <w:t>Enumeration turns a discovered host into an understandable attack surface. The goal is to identify exposed services, technologies, application components and access controls, then determine which observations deserve deeper investigation.</w:t>
      </w:r>
    </w:p>
    <w:p>
      <w:pPr>
        <w:pStyle w:val="Heading2"/>
      </w:pPr>
      <w:r>
        <w:t>3.1 What to Enumerate</w:t>
      </w:r>
    </w:p>
    <w:tbl>
      <w:tblPr>
        <w:tblStyle w:val="TableGrid"/>
        <w:tblW w:type="auto" w:w="0"/>
        <w:jc w:val="center"/>
        <w:tblLook w:firstColumn="1" w:firstRow="1" w:lastColumn="0" w:lastRow="0" w:noHBand="0" w:noVBand="1" w:val="04A0"/>
      </w:tblPr>
      <w:tblGrid>
        <w:gridCol w:w="4933"/>
        <w:gridCol w:w="4933"/>
      </w:tblGrid>
      <w:tr>
        <w:trPr>
          <w:cantSplit/>
        </w:trPr>
        <w:tc>
          <w:tcPr>
            <w:tcW w:type="dxa" w:w="2494"/>
            <w:shd w:fill="0D3265"/>
            <w:tcMar>
              <w:top w:w="90" w:type="dxa"/>
              <w:start w:w="100" w:type="dxa"/>
              <w:bottom w:w="90" w:type="dxa"/>
              <w:end w:w="100" w:type="dxa"/>
            </w:tcMar>
          </w:tcPr>
          <w:p>
            <w:r>
              <w:rPr>
                <w:b/>
                <w:color w:val="FFFFFF"/>
                <w:sz w:val="18"/>
              </w:rPr>
              <w:t>Area</w:t>
            </w:r>
          </w:p>
        </w:tc>
        <w:tc>
          <w:tcPr>
            <w:tcW w:type="dxa" w:w="7370"/>
            <w:shd w:fill="0D3265"/>
            <w:tcMar>
              <w:top w:w="90" w:type="dxa"/>
              <w:start w:w="100" w:type="dxa"/>
              <w:bottom w:w="90" w:type="dxa"/>
              <w:end w:w="100" w:type="dxa"/>
            </w:tcMar>
          </w:tcPr>
          <w:p>
            <w:r>
              <w:rPr>
                <w:b/>
                <w:color w:val="FFFFFF"/>
                <w:sz w:val="18"/>
              </w:rPr>
              <w:t>Questions</w:t>
            </w:r>
          </w:p>
        </w:tc>
      </w:tr>
      <w:tr>
        <w:trPr>
          <w:cantSplit/>
        </w:trPr>
        <w:tc>
          <w:tcPr>
            <w:tcW w:type="dxa" w:w="2494"/>
            <w:tcMar>
              <w:top w:w="90" w:type="dxa"/>
              <w:start w:w="100" w:type="dxa"/>
              <w:bottom w:w="90" w:type="dxa"/>
              <w:end w:w="100" w:type="dxa"/>
            </w:tcMar>
            <w:vAlign w:val="top"/>
          </w:tcPr>
          <w:p>
            <w:pPr>
              <w:spacing w:after="0"/>
            </w:pPr>
            <w:r>
              <w:rPr>
                <w:sz w:val="18"/>
              </w:rPr>
              <w:t>Network Services</w:t>
            </w:r>
          </w:p>
        </w:tc>
        <w:tc>
          <w:tcPr>
            <w:tcW w:type="dxa" w:w="7370"/>
            <w:tcMar>
              <w:top w:w="90" w:type="dxa"/>
              <w:start w:w="100" w:type="dxa"/>
              <w:bottom w:w="90" w:type="dxa"/>
              <w:end w:w="100" w:type="dxa"/>
            </w:tcMar>
            <w:vAlign w:val="top"/>
          </w:tcPr>
          <w:p>
            <w:pPr>
              <w:spacing w:after="0"/>
            </w:pPr>
            <w:r>
              <w:rPr>
                <w:sz w:val="18"/>
              </w:rPr>
              <w:t>Which ports and protocols are exposed? What appears to be listening?</w:t>
            </w:r>
          </w:p>
        </w:tc>
      </w:tr>
      <w:tr>
        <w:trPr>
          <w:cantSplit/>
        </w:trPr>
        <w:tc>
          <w:tcPr>
            <w:tcW w:type="dxa" w:w="2494"/>
            <w:shd w:fill="F7FAFC"/>
            <w:tcMar>
              <w:top w:w="90" w:type="dxa"/>
              <w:start w:w="100" w:type="dxa"/>
              <w:bottom w:w="90" w:type="dxa"/>
              <w:end w:w="100" w:type="dxa"/>
            </w:tcMar>
            <w:vAlign w:val="top"/>
          </w:tcPr>
          <w:p>
            <w:pPr>
              <w:spacing w:after="0"/>
            </w:pPr>
            <w:r>
              <w:rPr>
                <w:sz w:val="18"/>
              </w:rPr>
              <w:t>Service Identity</w:t>
            </w:r>
          </w:p>
        </w:tc>
        <w:tc>
          <w:tcPr>
            <w:tcW w:type="dxa" w:w="7370"/>
            <w:shd w:fill="F7FAFC"/>
            <w:tcMar>
              <w:top w:w="90" w:type="dxa"/>
              <w:start w:w="100" w:type="dxa"/>
              <w:bottom w:w="90" w:type="dxa"/>
              <w:end w:w="100" w:type="dxa"/>
            </w:tcMar>
            <w:vAlign w:val="top"/>
          </w:tcPr>
          <w:p>
            <w:pPr>
              <w:spacing w:after="0"/>
            </w:pPr>
            <w:r>
              <w:rPr>
                <w:sz w:val="18"/>
              </w:rPr>
              <w:t>What product or technology is indicated? Are version clues reliable?</w:t>
            </w:r>
          </w:p>
        </w:tc>
      </w:tr>
      <w:tr>
        <w:trPr>
          <w:cantSplit/>
        </w:trPr>
        <w:tc>
          <w:tcPr>
            <w:tcW w:type="dxa" w:w="2494"/>
            <w:tcMar>
              <w:top w:w="90" w:type="dxa"/>
              <w:start w:w="100" w:type="dxa"/>
              <w:bottom w:w="90" w:type="dxa"/>
              <w:end w:w="100" w:type="dxa"/>
            </w:tcMar>
            <w:vAlign w:val="top"/>
          </w:tcPr>
          <w:p>
            <w:pPr>
              <w:spacing w:after="0"/>
            </w:pPr>
            <w:r>
              <w:rPr>
                <w:sz w:val="18"/>
              </w:rPr>
              <w:t>Web Applications</w:t>
            </w:r>
          </w:p>
        </w:tc>
        <w:tc>
          <w:tcPr>
            <w:tcW w:type="dxa" w:w="7370"/>
            <w:tcMar>
              <w:top w:w="90" w:type="dxa"/>
              <w:start w:w="100" w:type="dxa"/>
              <w:bottom w:w="90" w:type="dxa"/>
              <w:end w:w="100" w:type="dxa"/>
            </w:tcMar>
            <w:vAlign w:val="top"/>
          </w:tcPr>
          <w:p>
            <w:pPr>
              <w:spacing w:after="0"/>
            </w:pPr>
            <w:r>
              <w:rPr>
                <w:sz w:val="18"/>
              </w:rPr>
              <w:t>What pages, directories, forms, authentication surfaces and technologies are present?</w:t>
            </w:r>
          </w:p>
        </w:tc>
      </w:tr>
      <w:tr>
        <w:trPr>
          <w:cantSplit/>
        </w:trPr>
        <w:tc>
          <w:tcPr>
            <w:tcW w:type="dxa" w:w="2494"/>
            <w:shd w:fill="F7FAFC"/>
            <w:tcMar>
              <w:top w:w="90" w:type="dxa"/>
              <w:start w:w="100" w:type="dxa"/>
              <w:bottom w:w="90" w:type="dxa"/>
              <w:end w:w="100" w:type="dxa"/>
            </w:tcMar>
            <w:vAlign w:val="top"/>
          </w:tcPr>
          <w:p>
            <w:pPr>
              <w:spacing w:after="0"/>
            </w:pPr>
            <w:r>
              <w:rPr>
                <w:sz w:val="18"/>
              </w:rPr>
              <w:t>Authentication</w:t>
            </w:r>
          </w:p>
        </w:tc>
        <w:tc>
          <w:tcPr>
            <w:tcW w:type="dxa" w:w="7370"/>
            <w:shd w:fill="F7FAFC"/>
            <w:tcMar>
              <w:top w:w="90" w:type="dxa"/>
              <w:start w:w="100" w:type="dxa"/>
              <w:bottom w:w="90" w:type="dxa"/>
              <w:end w:w="100" w:type="dxa"/>
            </w:tcMar>
            <w:vAlign w:val="top"/>
          </w:tcPr>
          <w:p>
            <w:pPr>
              <w:spacing w:after="0"/>
            </w:pPr>
            <w:r>
              <w:rPr>
                <w:sz w:val="18"/>
              </w:rPr>
              <w:t>Is anonymous access possible? Are there roles, trust boundaries or default interfaces?</w:t>
            </w:r>
          </w:p>
        </w:tc>
      </w:tr>
      <w:tr>
        <w:trPr>
          <w:cantSplit/>
        </w:trPr>
        <w:tc>
          <w:tcPr>
            <w:tcW w:type="dxa" w:w="2494"/>
            <w:tcMar>
              <w:top w:w="90" w:type="dxa"/>
              <w:start w:w="100" w:type="dxa"/>
              <w:bottom w:w="90" w:type="dxa"/>
              <w:end w:w="100" w:type="dxa"/>
            </w:tcMar>
            <w:vAlign w:val="top"/>
          </w:tcPr>
          <w:p>
            <w:pPr>
              <w:spacing w:after="0"/>
            </w:pPr>
            <w:r>
              <w:rPr>
                <w:sz w:val="18"/>
              </w:rPr>
              <w:t>Configuration</w:t>
            </w:r>
          </w:p>
        </w:tc>
        <w:tc>
          <w:tcPr>
            <w:tcW w:type="dxa" w:w="7370"/>
            <w:tcMar>
              <w:top w:w="90" w:type="dxa"/>
              <w:start w:w="100" w:type="dxa"/>
              <w:bottom w:w="90" w:type="dxa"/>
              <w:end w:w="100" w:type="dxa"/>
            </w:tcMar>
            <w:vAlign w:val="top"/>
          </w:tcPr>
          <w:p>
            <w:pPr>
              <w:spacing w:after="0"/>
            </w:pPr>
            <w:r>
              <w:rPr>
                <w:sz w:val="18"/>
              </w:rPr>
              <w:t>Are unnecessary services, unsafe defaults or weak permissions visible?</w:t>
            </w:r>
          </w:p>
        </w:tc>
      </w:tr>
      <w:tr>
        <w:trPr>
          <w:cantSplit/>
        </w:trPr>
        <w:tc>
          <w:tcPr>
            <w:tcW w:type="dxa" w:w="2494"/>
            <w:shd w:fill="F7FAFC"/>
            <w:tcMar>
              <w:top w:w="90" w:type="dxa"/>
              <w:start w:w="100" w:type="dxa"/>
              <w:bottom w:w="90" w:type="dxa"/>
              <w:end w:w="100" w:type="dxa"/>
            </w:tcMar>
            <w:vAlign w:val="top"/>
          </w:tcPr>
          <w:p>
            <w:pPr>
              <w:spacing w:after="0"/>
            </w:pPr>
            <w:r>
              <w:rPr>
                <w:sz w:val="18"/>
              </w:rPr>
              <w:t>Relationships</w:t>
            </w:r>
          </w:p>
        </w:tc>
        <w:tc>
          <w:tcPr>
            <w:tcW w:type="dxa" w:w="7370"/>
            <w:shd w:fill="F7FAFC"/>
            <w:tcMar>
              <w:top w:w="90" w:type="dxa"/>
              <w:start w:w="100" w:type="dxa"/>
              <w:bottom w:w="90" w:type="dxa"/>
              <w:end w:w="100" w:type="dxa"/>
            </w:tcMar>
            <w:vAlign w:val="top"/>
          </w:tcPr>
          <w:p>
            <w:pPr>
              <w:spacing w:after="0"/>
            </w:pPr>
            <w:r>
              <w:rPr>
                <w:sz w:val="18"/>
              </w:rPr>
              <w:t>Could multiple low-severity weaknesses combine into a meaningful attack chain?</w:t>
            </w:r>
          </w:p>
        </w:tc>
      </w:tr>
    </w:tbl>
    <w:p>
      <w:pPr>
        <w:spacing w:after="0"/>
      </w:pPr>
    </w:p>
    <w:p>
      <w:pPr>
        <w:pStyle w:val="Heading2"/>
      </w:pPr>
      <w:r>
        <w:t>3.2 Why One Scan Is Not Enough</w:t>
      </w:r>
    </w:p>
    <w:p>
      <w:r>
        <w:t>Automated scanners are useful for coverage, but they can misidentify versions, miss application context or produce output without explaining why a finding matters. Strong enumeration combines tool output with manual observation and protocol/application understanding.</w:t>
      </w:r>
    </w:p>
    <w:p>
      <w:pPr>
        <w:pStyle w:val="ListBullet"/>
        <w:spacing w:after="40"/>
        <w:ind w:left="340" w:hanging="142"/>
      </w:pPr>
      <w:r>
        <w:t>Validate important findings using more than one source of evidence where practical.</w:t>
      </w:r>
    </w:p>
    <w:p>
      <w:pPr>
        <w:pStyle w:val="ListBullet"/>
        <w:spacing w:after="40"/>
        <w:ind w:left="340" w:hanging="142"/>
      </w:pPr>
      <w:r>
        <w:t>Record the purpose of each enumeration action.</w:t>
      </w:r>
    </w:p>
    <w:p>
      <w:pPr>
        <w:pStyle w:val="ListBullet"/>
        <w:spacing w:after="40"/>
        <w:ind w:left="340" w:hanging="142"/>
      </w:pPr>
      <w:r>
        <w:t>Do not ignore services simply because an exploit is not immediately obvious.</w:t>
      </w:r>
    </w:p>
    <w:p>
      <w:pPr>
        <w:pStyle w:val="ListBullet"/>
        <w:spacing w:after="40"/>
        <w:ind w:left="340" w:hanging="142"/>
      </w:pPr>
      <w:r>
        <w:t>Revisit earlier observations when new evidence changes the likely attack path.</w:t>
      </w:r>
    </w:p>
    <w:p>
      <w:pPr>
        <w:pStyle w:val="ListBullet"/>
        <w:spacing w:after="40"/>
        <w:ind w:left="340" w:hanging="142"/>
      </w:pPr>
      <w:r>
        <w:t>Build an attack-surface map so that decisions can be reviewed later.</w:t>
      </w:r>
    </w:p>
    <w:p>
      <w:pPr>
        <w:pStyle w:val="Heading2"/>
      </w:pPr>
      <w:r>
        <w:t>3.3 Attack-Surface Mapping Template</w:t>
      </w:r>
    </w:p>
    <w:tbl>
      <w:tblPr>
        <w:tblStyle w:val="TableGrid"/>
        <w:tblW w:type="auto" w:w="0"/>
        <w:jc w:val="center"/>
        <w:tblLook w:firstColumn="1" w:firstRow="1" w:lastColumn="0" w:lastRow="0" w:noHBand="0" w:noVBand="1" w:val="04A0"/>
      </w:tblPr>
      <w:tblGrid>
        <w:gridCol w:w="1973"/>
        <w:gridCol w:w="1973"/>
        <w:gridCol w:w="1973"/>
        <w:gridCol w:w="1973"/>
        <w:gridCol w:w="1973"/>
      </w:tblGrid>
      <w:tr>
        <w:trPr>
          <w:cantSplit/>
        </w:trPr>
        <w:tc>
          <w:tcPr>
            <w:tcW w:type="dxa" w:w="1814"/>
            <w:shd w:fill="0D3265"/>
            <w:tcMar>
              <w:top w:w="90" w:type="dxa"/>
              <w:start w:w="100" w:type="dxa"/>
              <w:bottom w:w="90" w:type="dxa"/>
              <w:end w:w="100" w:type="dxa"/>
            </w:tcMar>
          </w:tcPr>
          <w:p>
            <w:r>
              <w:rPr>
                <w:b/>
                <w:color w:val="FFFFFF"/>
                <w:sz w:val="18"/>
              </w:rPr>
              <w:t>Surface</w:t>
            </w:r>
          </w:p>
        </w:tc>
        <w:tc>
          <w:tcPr>
            <w:tcW w:type="dxa" w:w="2324"/>
            <w:shd w:fill="0D3265"/>
            <w:tcMar>
              <w:top w:w="90" w:type="dxa"/>
              <w:start w:w="100" w:type="dxa"/>
              <w:bottom w:w="90" w:type="dxa"/>
              <w:end w:w="100" w:type="dxa"/>
            </w:tcMar>
          </w:tcPr>
          <w:p>
            <w:r>
              <w:rPr>
                <w:b/>
                <w:color w:val="FFFFFF"/>
                <w:sz w:val="18"/>
              </w:rPr>
              <w:t>Observed Evidence</w:t>
            </w:r>
          </w:p>
        </w:tc>
        <w:tc>
          <w:tcPr>
            <w:tcW w:type="dxa" w:w="2324"/>
            <w:shd w:fill="0D3265"/>
            <w:tcMar>
              <w:top w:w="90" w:type="dxa"/>
              <w:start w:w="100" w:type="dxa"/>
              <w:bottom w:w="90" w:type="dxa"/>
              <w:end w:w="100" w:type="dxa"/>
            </w:tcMar>
          </w:tcPr>
          <w:p>
            <w:r>
              <w:rPr>
                <w:b/>
                <w:color w:val="FFFFFF"/>
                <w:sz w:val="18"/>
              </w:rPr>
              <w:t>Hypothesis</w:t>
            </w:r>
          </w:p>
        </w:tc>
        <w:tc>
          <w:tcPr>
            <w:tcW w:type="dxa" w:w="1417"/>
            <w:shd w:fill="0D3265"/>
            <w:tcMar>
              <w:top w:w="90" w:type="dxa"/>
              <w:start w:w="100" w:type="dxa"/>
              <w:bottom w:w="90" w:type="dxa"/>
              <w:end w:w="100" w:type="dxa"/>
            </w:tcMar>
          </w:tcPr>
          <w:p>
            <w:r>
              <w:rPr>
                <w:b/>
                <w:color w:val="FFFFFF"/>
                <w:sz w:val="18"/>
              </w:rPr>
              <w:t>Confidence</w:t>
            </w:r>
          </w:p>
        </w:tc>
        <w:tc>
          <w:tcPr>
            <w:tcW w:type="dxa" w:w="2041"/>
            <w:shd w:fill="0D3265"/>
            <w:tcMar>
              <w:top w:w="90" w:type="dxa"/>
              <w:start w:w="100" w:type="dxa"/>
              <w:bottom w:w="90" w:type="dxa"/>
              <w:end w:w="100" w:type="dxa"/>
            </w:tcMar>
          </w:tcPr>
          <w:p>
            <w:r>
              <w:rPr>
                <w:b/>
                <w:color w:val="FFFFFF"/>
                <w:sz w:val="18"/>
              </w:rPr>
              <w:t>Next Step</w:t>
            </w:r>
          </w:p>
        </w:tc>
      </w:tr>
      <w:tr>
        <w:trPr>
          <w:cantSplit/>
        </w:trPr>
        <w:tc>
          <w:tcPr>
            <w:tcW w:type="dxa" w:w="1814"/>
            <w:tcMar>
              <w:top w:w="90" w:type="dxa"/>
              <w:start w:w="100" w:type="dxa"/>
              <w:bottom w:w="90" w:type="dxa"/>
              <w:end w:w="100" w:type="dxa"/>
            </w:tcMar>
            <w:vAlign w:val="top"/>
          </w:tcPr>
          <w:p>
            <w:pPr>
              <w:spacing w:after="0"/>
            </w:pPr>
            <w:r>
              <w:rPr>
                <w:sz w:val="18"/>
              </w:rPr>
              <w:t>Service/Application A</w:t>
            </w:r>
          </w:p>
        </w:tc>
        <w:tc>
          <w:tcPr>
            <w:tcW w:type="dxa" w:w="2324"/>
            <w:tcMar>
              <w:top w:w="90" w:type="dxa"/>
              <w:start w:w="100" w:type="dxa"/>
              <w:bottom w:w="90" w:type="dxa"/>
              <w:end w:w="100" w:type="dxa"/>
            </w:tcMar>
            <w:vAlign w:val="top"/>
          </w:tcPr>
          <w:p>
            <w:pPr>
              <w:spacing w:after="0"/>
            </w:pPr>
            <w:r>
              <w:rPr>
                <w:sz w:val="18"/>
              </w:rPr>
              <w:t>What was directly observed</w:t>
            </w:r>
          </w:p>
        </w:tc>
        <w:tc>
          <w:tcPr>
            <w:tcW w:type="dxa" w:w="2324"/>
            <w:tcMar>
              <w:top w:w="90" w:type="dxa"/>
              <w:start w:w="100" w:type="dxa"/>
              <w:bottom w:w="90" w:type="dxa"/>
              <w:end w:w="100" w:type="dxa"/>
            </w:tcMar>
            <w:vAlign w:val="top"/>
          </w:tcPr>
          <w:p>
            <w:pPr>
              <w:spacing w:after="0"/>
            </w:pPr>
            <w:r>
              <w:rPr>
                <w:sz w:val="18"/>
              </w:rPr>
              <w:t>Possible weakness to investigate</w:t>
            </w:r>
          </w:p>
        </w:tc>
        <w:tc>
          <w:tcPr>
            <w:tcW w:type="dxa" w:w="1417"/>
            <w:tcMar>
              <w:top w:w="90" w:type="dxa"/>
              <w:start w:w="100" w:type="dxa"/>
              <w:bottom w:w="90" w:type="dxa"/>
              <w:end w:w="100" w:type="dxa"/>
            </w:tcMar>
            <w:vAlign w:val="top"/>
          </w:tcPr>
          <w:p>
            <w:pPr>
              <w:spacing w:after="0"/>
            </w:pPr>
            <w:r>
              <w:rPr>
                <w:sz w:val="18"/>
              </w:rPr>
              <w:t>Low/Medium/High</w:t>
            </w:r>
          </w:p>
        </w:tc>
        <w:tc>
          <w:tcPr>
            <w:tcW w:type="dxa" w:w="2041"/>
            <w:tcMar>
              <w:top w:w="90" w:type="dxa"/>
              <w:start w:w="100" w:type="dxa"/>
              <w:bottom w:w="90" w:type="dxa"/>
              <w:end w:w="100" w:type="dxa"/>
            </w:tcMar>
            <w:vAlign w:val="top"/>
          </w:tcPr>
          <w:p>
            <w:pPr>
              <w:spacing w:after="0"/>
            </w:pPr>
            <w:r>
              <w:rPr>
                <w:sz w:val="18"/>
              </w:rPr>
              <w:t>Evidence needed to confirm or reject</w:t>
            </w:r>
          </w:p>
        </w:tc>
      </w:tr>
      <w:tr>
        <w:trPr>
          <w:cantSplit/>
        </w:trPr>
        <w:tc>
          <w:tcPr>
            <w:tcW w:type="dxa" w:w="1814"/>
            <w:shd w:fill="F7FAFC"/>
            <w:tcMar>
              <w:top w:w="90" w:type="dxa"/>
              <w:start w:w="100" w:type="dxa"/>
              <w:bottom w:w="90" w:type="dxa"/>
              <w:end w:w="100" w:type="dxa"/>
            </w:tcMar>
            <w:vAlign w:val="top"/>
          </w:tcPr>
          <w:p>
            <w:pPr>
              <w:spacing w:after="0"/>
            </w:pPr>
            <w:r>
              <w:rPr>
                <w:sz w:val="18"/>
              </w:rPr>
              <w:t>Service/Application B</w:t>
            </w:r>
          </w:p>
        </w:tc>
        <w:tc>
          <w:tcPr>
            <w:tcW w:type="dxa" w:w="2324"/>
            <w:shd w:fill="F7FAFC"/>
            <w:tcMar>
              <w:top w:w="90" w:type="dxa"/>
              <w:start w:w="100" w:type="dxa"/>
              <w:bottom w:w="90" w:type="dxa"/>
              <w:end w:w="100" w:type="dxa"/>
            </w:tcMar>
            <w:vAlign w:val="top"/>
          </w:tcPr>
          <w:p>
            <w:pPr>
              <w:spacing w:after="0"/>
            </w:pPr>
            <w:r>
              <w:rPr>
                <w:sz w:val="18"/>
              </w:rPr>
              <w:t>What was directly observed</w:t>
            </w:r>
          </w:p>
        </w:tc>
        <w:tc>
          <w:tcPr>
            <w:tcW w:type="dxa" w:w="2324"/>
            <w:shd w:fill="F7FAFC"/>
            <w:tcMar>
              <w:top w:w="90" w:type="dxa"/>
              <w:start w:w="100" w:type="dxa"/>
              <w:bottom w:w="90" w:type="dxa"/>
              <w:end w:w="100" w:type="dxa"/>
            </w:tcMar>
            <w:vAlign w:val="top"/>
          </w:tcPr>
          <w:p>
            <w:pPr>
              <w:spacing w:after="0"/>
            </w:pPr>
            <w:r>
              <w:rPr>
                <w:sz w:val="18"/>
              </w:rPr>
              <w:t>Possible weakness to investigate</w:t>
            </w:r>
          </w:p>
        </w:tc>
        <w:tc>
          <w:tcPr>
            <w:tcW w:type="dxa" w:w="1417"/>
            <w:shd w:fill="F7FAFC"/>
            <w:tcMar>
              <w:top w:w="90" w:type="dxa"/>
              <w:start w:w="100" w:type="dxa"/>
              <w:bottom w:w="90" w:type="dxa"/>
              <w:end w:w="100" w:type="dxa"/>
            </w:tcMar>
            <w:vAlign w:val="top"/>
          </w:tcPr>
          <w:p>
            <w:pPr>
              <w:spacing w:after="0"/>
            </w:pPr>
            <w:r>
              <w:rPr>
                <w:sz w:val="18"/>
              </w:rPr>
              <w:t>Low/Medium/High</w:t>
            </w:r>
          </w:p>
        </w:tc>
        <w:tc>
          <w:tcPr>
            <w:tcW w:type="dxa" w:w="2041"/>
            <w:shd w:fill="F7FAFC"/>
            <w:tcMar>
              <w:top w:w="90" w:type="dxa"/>
              <w:start w:w="100" w:type="dxa"/>
              <w:bottom w:w="90" w:type="dxa"/>
              <w:end w:w="100" w:type="dxa"/>
            </w:tcMar>
            <w:vAlign w:val="top"/>
          </w:tcPr>
          <w:p>
            <w:pPr>
              <w:spacing w:after="0"/>
            </w:pPr>
            <w:r>
              <w:rPr>
                <w:sz w:val="18"/>
              </w:rPr>
              <w:t>Evidence needed to confirm or reject</w:t>
            </w:r>
          </w:p>
        </w:tc>
      </w:tr>
    </w:tbl>
    <w:p>
      <w:pPr>
        <w:spacing w:after="0"/>
      </w:pPr>
    </w:p>
    <w:p>
      <w:pPr>
        <w:pStyle w:val="Heading2"/>
      </w:pPr>
      <w:r>
        <w:t>Study Check</w:t>
      </w:r>
    </w:p>
    <w:p>
      <w:pPr>
        <w:pStyle w:val="ListNumber"/>
        <w:spacing w:after="60"/>
      </w:pPr>
      <w:r>
        <w:t>Why should service-version detection be treated as an indicator rather than unquestionable fact?</w:t>
      </w:r>
    </w:p>
    <w:p>
      <w:pPr>
        <w:pStyle w:val="ListNumber"/>
        <w:spacing w:after="60"/>
      </w:pPr>
      <w:r>
        <w:t>What is the purpose of an attack-surface map?</w:t>
      </w:r>
    </w:p>
    <w:p>
      <w:pPr>
        <w:pStyle w:val="ListNumber"/>
        <w:spacing w:after="60"/>
      </w:pPr>
      <w:r>
        <w:t>How can two individually minor weaknesses become significant when chained?</w:t>
      </w:r>
    </w:p>
    <w:p>
      <w:pPr>
        <w:pStyle w:val="Heading1"/>
      </w:pPr>
      <w:r>
        <w:t>Module 4 - Vulnerability Analysis and Attack Hypotheses</w:t>
      </w:r>
    </w:p>
    <w:p>
      <w:r>
        <w:t>Vulnerability analysis is the bridge between enumeration and exploitation. The operator studies observed technologies and configurations, researches plausible weaknesses, and chooses the least destructive method that can confirm or reject a hypothesis.</w:t>
      </w:r>
    </w:p>
    <w:p>
      <w:pPr>
        <w:pStyle w:val="Heading2"/>
      </w:pPr>
      <w:r>
        <w:t>4.1 The Evidence-to-Hypothesis Cycle</w:t>
      </w:r>
    </w:p>
    <w:tbl>
      <w:tblPr>
        <w:tblStyle w:val="TableGrid"/>
        <w:tblW w:type="auto" w:w="0"/>
        <w:jc w:val="center"/>
        <w:tblLook w:firstColumn="1" w:firstRow="1" w:lastColumn="0" w:lastRow="0" w:noHBand="0" w:noVBand="1" w:val="04A0"/>
      </w:tblPr>
      <w:tblGrid>
        <w:gridCol w:w="4933"/>
        <w:gridCol w:w="4933"/>
      </w:tblGrid>
      <w:tr>
        <w:trPr>
          <w:cantSplit/>
        </w:trPr>
        <w:tc>
          <w:tcPr>
            <w:tcW w:type="dxa" w:w="2268"/>
            <w:shd w:fill="0D3265"/>
            <w:tcMar>
              <w:top w:w="90" w:type="dxa"/>
              <w:start w:w="100" w:type="dxa"/>
              <w:bottom w:w="90" w:type="dxa"/>
              <w:end w:w="100" w:type="dxa"/>
            </w:tcMar>
          </w:tcPr>
          <w:p>
            <w:r>
              <w:rPr>
                <w:b/>
                <w:color w:val="FFFFFF"/>
                <w:sz w:val="18"/>
              </w:rPr>
              <w:t>Stage</w:t>
            </w:r>
          </w:p>
        </w:tc>
        <w:tc>
          <w:tcPr>
            <w:tcW w:type="dxa" w:w="7597"/>
            <w:shd w:fill="0D3265"/>
            <w:tcMar>
              <w:top w:w="90" w:type="dxa"/>
              <w:start w:w="100" w:type="dxa"/>
              <w:bottom w:w="90" w:type="dxa"/>
              <w:end w:w="100" w:type="dxa"/>
            </w:tcMar>
          </w:tcPr>
          <w:p>
            <w:r>
              <w:rPr>
                <w:b/>
                <w:color w:val="FFFFFF"/>
                <w:sz w:val="18"/>
              </w:rPr>
              <w:t>Meaning</w:t>
            </w:r>
          </w:p>
        </w:tc>
      </w:tr>
      <w:tr>
        <w:trPr>
          <w:cantSplit/>
        </w:trPr>
        <w:tc>
          <w:tcPr>
            <w:tcW w:type="dxa" w:w="2268"/>
            <w:tcMar>
              <w:top w:w="90" w:type="dxa"/>
              <w:start w:w="100" w:type="dxa"/>
              <w:bottom w:w="90" w:type="dxa"/>
              <w:end w:w="100" w:type="dxa"/>
            </w:tcMar>
            <w:vAlign w:val="top"/>
          </w:tcPr>
          <w:p>
            <w:pPr>
              <w:spacing w:after="0"/>
            </w:pPr>
            <w:r>
              <w:rPr>
                <w:sz w:val="18"/>
              </w:rPr>
              <w:t>Observation</w:t>
            </w:r>
          </w:p>
        </w:tc>
        <w:tc>
          <w:tcPr>
            <w:tcW w:type="dxa" w:w="7597"/>
            <w:tcMar>
              <w:top w:w="90" w:type="dxa"/>
              <w:start w:w="100" w:type="dxa"/>
              <w:bottom w:w="90" w:type="dxa"/>
              <w:end w:w="100" w:type="dxa"/>
            </w:tcMar>
            <w:vAlign w:val="top"/>
          </w:tcPr>
          <w:p>
            <w:pPr>
              <w:spacing w:after="0"/>
            </w:pPr>
            <w:r>
              <w:rPr>
                <w:sz w:val="18"/>
              </w:rPr>
              <w:t>A fact supported by direct evidence from the target.</w:t>
            </w:r>
          </w:p>
        </w:tc>
      </w:tr>
      <w:tr>
        <w:trPr>
          <w:cantSplit/>
        </w:trPr>
        <w:tc>
          <w:tcPr>
            <w:tcW w:type="dxa" w:w="2268"/>
            <w:shd w:fill="F7FAFC"/>
            <w:tcMar>
              <w:top w:w="90" w:type="dxa"/>
              <w:start w:w="100" w:type="dxa"/>
              <w:bottom w:w="90" w:type="dxa"/>
              <w:end w:w="100" w:type="dxa"/>
            </w:tcMar>
            <w:vAlign w:val="top"/>
          </w:tcPr>
          <w:p>
            <w:pPr>
              <w:spacing w:after="0"/>
            </w:pPr>
            <w:r>
              <w:rPr>
                <w:sz w:val="18"/>
              </w:rPr>
              <w:t>Hypothesis</w:t>
            </w:r>
          </w:p>
        </w:tc>
        <w:tc>
          <w:tcPr>
            <w:tcW w:type="dxa" w:w="7597"/>
            <w:shd w:fill="F7FAFC"/>
            <w:tcMar>
              <w:top w:w="90" w:type="dxa"/>
              <w:start w:w="100" w:type="dxa"/>
              <w:bottom w:w="90" w:type="dxa"/>
              <w:end w:w="100" w:type="dxa"/>
            </w:tcMar>
            <w:vAlign w:val="top"/>
          </w:tcPr>
          <w:p>
            <w:pPr>
              <w:spacing w:after="0"/>
            </w:pPr>
            <w:r>
              <w:rPr>
                <w:sz w:val="18"/>
              </w:rPr>
              <w:t>A technically plausible explanation or weakness suggested by the observation.</w:t>
            </w:r>
          </w:p>
        </w:tc>
      </w:tr>
      <w:tr>
        <w:trPr>
          <w:cantSplit/>
        </w:trPr>
        <w:tc>
          <w:tcPr>
            <w:tcW w:type="dxa" w:w="2268"/>
            <w:tcMar>
              <w:top w:w="90" w:type="dxa"/>
              <w:start w:w="100" w:type="dxa"/>
              <w:bottom w:w="90" w:type="dxa"/>
              <w:end w:w="100" w:type="dxa"/>
            </w:tcMar>
            <w:vAlign w:val="top"/>
          </w:tcPr>
          <w:p>
            <w:pPr>
              <w:spacing w:after="0"/>
            </w:pPr>
            <w:r>
              <w:rPr>
                <w:sz w:val="18"/>
              </w:rPr>
              <w:t>Validation Plan</w:t>
            </w:r>
          </w:p>
        </w:tc>
        <w:tc>
          <w:tcPr>
            <w:tcW w:type="dxa" w:w="7597"/>
            <w:tcMar>
              <w:top w:w="90" w:type="dxa"/>
              <w:start w:w="100" w:type="dxa"/>
              <w:bottom w:w="90" w:type="dxa"/>
              <w:end w:w="100" w:type="dxa"/>
            </w:tcMar>
            <w:vAlign w:val="top"/>
          </w:tcPr>
          <w:p>
            <w:pPr>
              <w:spacing w:after="0"/>
            </w:pPr>
            <w:r>
              <w:rPr>
                <w:sz w:val="18"/>
              </w:rPr>
              <w:t>A safe method that can confirm or reject the hypothesis.</w:t>
            </w:r>
          </w:p>
        </w:tc>
      </w:tr>
      <w:tr>
        <w:trPr>
          <w:cantSplit/>
        </w:trPr>
        <w:tc>
          <w:tcPr>
            <w:tcW w:type="dxa" w:w="2268"/>
            <w:shd w:fill="F7FAFC"/>
            <w:tcMar>
              <w:top w:w="90" w:type="dxa"/>
              <w:start w:w="100" w:type="dxa"/>
              <w:bottom w:w="90" w:type="dxa"/>
              <w:end w:w="100" w:type="dxa"/>
            </w:tcMar>
            <w:vAlign w:val="top"/>
          </w:tcPr>
          <w:p>
            <w:pPr>
              <w:spacing w:after="0"/>
            </w:pPr>
            <w:r>
              <w:rPr>
                <w:sz w:val="18"/>
              </w:rPr>
              <w:t>Result</w:t>
            </w:r>
          </w:p>
        </w:tc>
        <w:tc>
          <w:tcPr>
            <w:tcW w:type="dxa" w:w="7597"/>
            <w:shd w:fill="F7FAFC"/>
            <w:tcMar>
              <w:top w:w="90" w:type="dxa"/>
              <w:start w:w="100" w:type="dxa"/>
              <w:bottom w:w="90" w:type="dxa"/>
              <w:end w:w="100" w:type="dxa"/>
            </w:tcMar>
            <w:vAlign w:val="top"/>
          </w:tcPr>
          <w:p>
            <w:pPr>
              <w:spacing w:after="0"/>
            </w:pPr>
            <w:r>
              <w:rPr>
                <w:sz w:val="18"/>
              </w:rPr>
              <w:t>What actually happened during validation.</w:t>
            </w:r>
          </w:p>
        </w:tc>
      </w:tr>
      <w:tr>
        <w:trPr>
          <w:cantSplit/>
        </w:trPr>
        <w:tc>
          <w:tcPr>
            <w:tcW w:type="dxa" w:w="2268"/>
            <w:tcMar>
              <w:top w:w="90" w:type="dxa"/>
              <w:start w:w="100" w:type="dxa"/>
              <w:bottom w:w="90" w:type="dxa"/>
              <w:end w:w="100" w:type="dxa"/>
            </w:tcMar>
            <w:vAlign w:val="top"/>
          </w:tcPr>
          <w:p>
            <w:pPr>
              <w:spacing w:after="0"/>
            </w:pPr>
            <w:r>
              <w:rPr>
                <w:sz w:val="18"/>
              </w:rPr>
              <w:t>Decision</w:t>
            </w:r>
          </w:p>
        </w:tc>
        <w:tc>
          <w:tcPr>
            <w:tcW w:type="dxa" w:w="7597"/>
            <w:tcMar>
              <w:top w:w="90" w:type="dxa"/>
              <w:start w:w="100" w:type="dxa"/>
              <w:bottom w:w="90" w:type="dxa"/>
              <w:end w:w="100" w:type="dxa"/>
            </w:tcMar>
            <w:vAlign w:val="top"/>
          </w:tcPr>
          <w:p>
            <w:pPr>
              <w:spacing w:after="0"/>
            </w:pPr>
            <w:r>
              <w:rPr>
                <w:sz w:val="18"/>
              </w:rPr>
              <w:t>Why the operator continued, changed direction or abandoned the path.</w:t>
            </w:r>
          </w:p>
        </w:tc>
      </w:tr>
      <w:tr>
        <w:trPr>
          <w:cantSplit/>
        </w:trPr>
        <w:tc>
          <w:tcPr>
            <w:tcW w:type="dxa" w:w="2268"/>
            <w:shd w:fill="F7FAFC"/>
            <w:tcMar>
              <w:top w:w="90" w:type="dxa"/>
              <w:start w:w="100" w:type="dxa"/>
              <w:bottom w:w="90" w:type="dxa"/>
              <w:end w:w="100" w:type="dxa"/>
            </w:tcMar>
            <w:vAlign w:val="top"/>
          </w:tcPr>
          <w:p>
            <w:pPr>
              <w:spacing w:after="0"/>
            </w:pPr>
            <w:r>
              <w:rPr>
                <w:sz w:val="18"/>
              </w:rPr>
              <w:t>Impact</w:t>
            </w:r>
          </w:p>
        </w:tc>
        <w:tc>
          <w:tcPr>
            <w:tcW w:type="dxa" w:w="7597"/>
            <w:shd w:fill="F7FAFC"/>
            <w:tcMar>
              <w:top w:w="90" w:type="dxa"/>
              <w:start w:w="100" w:type="dxa"/>
              <w:bottom w:w="90" w:type="dxa"/>
              <w:end w:w="100" w:type="dxa"/>
            </w:tcMar>
            <w:vAlign w:val="top"/>
          </w:tcPr>
          <w:p>
            <w:pPr>
              <w:spacing w:after="0"/>
            </w:pPr>
            <w:r>
              <w:rPr>
                <w:sz w:val="18"/>
              </w:rPr>
              <w:t>What the validated weakness enables inside the authorised environment.</w:t>
            </w:r>
          </w:p>
        </w:tc>
      </w:tr>
    </w:tbl>
    <w:p>
      <w:pPr>
        <w:spacing w:after="0"/>
      </w:pPr>
    </w:p>
    <w:p>
      <w:pPr>
        <w:pStyle w:val="Heading2"/>
      </w:pPr>
      <w:r>
        <w:t>4.2 Failed Hypotheses Are Valuable</w:t>
      </w:r>
    </w:p>
    <w:p>
      <w:r>
        <w:t>A failed approach is not automatically a failure of the assessment. If the operator records why the path was plausible, what was tested, what evidence disproved it and why the investigation changed direction, the failed hypothesis demonstrates technical reasoning.</w:t>
      </w:r>
    </w:p>
    <w:tbl>
      <w:tblPr>
        <w:tblW w:type="auto" w:w="0"/>
        <w:jc w:val="center"/>
        <w:tblLook w:firstColumn="1" w:firstRow="1" w:lastColumn="0" w:lastRow="0" w:noHBand="0" w:noVBand="1" w:val="04A0"/>
      </w:tblPr>
      <w:tblGrid>
        <w:gridCol w:w="9866"/>
      </w:tblGrid>
      <w:tr>
        <w:trPr>
          <w:cantSplit/>
        </w:trPr>
        <w:tc>
          <w:tcPr>
            <w:tcW w:type="dxa" w:w="9866"/>
            <w:shd w:fill="EAF4FB"/>
            <w:tcMar>
              <w:top w:w="120" w:type="dxa"/>
              <w:start w:w="150" w:type="dxa"/>
              <w:bottom w:w="120" w:type="dxa"/>
              <w:end w:w="150" w:type="dxa"/>
            </w:tcMar>
          </w:tcPr>
          <w:p>
            <w:pPr>
              <w:spacing w:after="40"/>
            </w:pPr>
            <w:r>
              <w:rPr>
                <w:b/>
                <w:color w:val="0D3265"/>
                <w:sz w:val="21"/>
              </w:rPr>
              <w:t>IMPORTANT</w:t>
            </w:r>
          </w:p>
          <w:p>
            <w:pPr>
              <w:spacing w:after="0"/>
            </w:pPr>
            <w:r>
              <w:rPr>
                <w:sz w:val="20"/>
              </w:rPr>
              <w:t>Do not report a vulnerability as confirmed merely because a scanner, search result or public exploit reference says it might exist. A finding becomes defensible when the target-specific evidence supports the claim.</w:t>
            </w:r>
          </w:p>
        </w:tc>
      </w:tr>
    </w:tbl>
    <w:p>
      <w:pPr>
        <w:spacing w:after="0"/>
      </w:pPr>
    </w:p>
    <w:p>
      <w:pPr>
        <w:pStyle w:val="Heading2"/>
      </w:pPr>
      <w:r>
        <w:t>Study Check</w:t>
      </w:r>
    </w:p>
    <w:p>
      <w:pPr>
        <w:pStyle w:val="ListNumber"/>
        <w:spacing w:after="60"/>
      </w:pPr>
      <w:r>
        <w:t>What is the difference between a vulnerability hypothesis and a confirmed finding?</w:t>
      </w:r>
    </w:p>
    <w:p>
      <w:pPr>
        <w:pStyle w:val="ListNumber"/>
        <w:spacing w:after="60"/>
      </w:pPr>
      <w:r>
        <w:t>Why should failed approaches be recorded in the operator log?</w:t>
      </w:r>
    </w:p>
    <w:p>
      <w:pPr>
        <w:pStyle w:val="Heading1"/>
      </w:pPr>
      <w:r>
        <w:t>Module 5 - Initial Access and Controlled Exploitation</w:t>
      </w:r>
    </w:p>
    <w:p>
      <w:r>
        <w:t>Initial access is the first successful compromise of the target within scope. In a professional assessment, obtaining a shell or session is only part of the evidence. The operator should also identify the affected component, explain why the weakness was exploitable, and show the resulting access context.</w:t>
      </w:r>
    </w:p>
    <w:p>
      <w:pPr>
        <w:pStyle w:val="Heading2"/>
      </w:pPr>
      <w:r>
        <w:t>5.1 Principles of Controlled Exploitation</w:t>
      </w:r>
    </w:p>
    <w:p>
      <w:pPr>
        <w:pStyle w:val="ListBullet"/>
        <w:spacing w:after="40"/>
        <w:ind w:left="340" w:hanging="142"/>
      </w:pPr>
      <w:r>
        <w:t>Use the least destructive method that can demonstrate the weakness.</w:t>
      </w:r>
    </w:p>
    <w:p>
      <w:pPr>
        <w:pStyle w:val="ListBullet"/>
        <w:spacing w:after="40"/>
        <w:ind w:left="340" w:hanging="142"/>
      </w:pPr>
      <w:r>
        <w:t>Avoid unnecessary file changes, service disruption or persistence.</w:t>
      </w:r>
    </w:p>
    <w:p>
      <w:pPr>
        <w:pStyle w:val="ListBullet"/>
        <w:spacing w:after="40"/>
        <w:ind w:left="340" w:hanging="142"/>
      </w:pPr>
      <w:r>
        <w:t>Capture evidence of the entry point and the access obtained.</w:t>
      </w:r>
    </w:p>
    <w:p>
      <w:pPr>
        <w:pStyle w:val="ListBullet"/>
        <w:spacing w:after="40"/>
        <w:ind w:left="340" w:hanging="142"/>
      </w:pPr>
      <w:r>
        <w:t>Record the affected component and the security impact.</w:t>
      </w:r>
    </w:p>
    <w:p>
      <w:pPr>
        <w:pStyle w:val="ListBullet"/>
        <w:spacing w:after="40"/>
        <w:ind w:left="340" w:hanging="142"/>
      </w:pPr>
      <w:r>
        <w:t>Stop if exploitation creates unexpected instability that could compromise evidence or scope.</w:t>
      </w:r>
    </w:p>
    <w:p>
      <w:pPr>
        <w:pStyle w:val="Heading2"/>
      </w:pPr>
      <w:r>
        <w:t>5.2 What Good Initial-Access Evidence Shows</w:t>
      </w:r>
    </w:p>
    <w:tbl>
      <w:tblPr>
        <w:tblStyle w:val="TableGrid"/>
        <w:tblW w:type="auto" w:w="0"/>
        <w:jc w:val="center"/>
        <w:tblLook w:firstColumn="1" w:firstRow="1" w:lastColumn="0" w:lastRow="0" w:noHBand="0" w:noVBand="1" w:val="04A0"/>
      </w:tblPr>
      <w:tblGrid>
        <w:gridCol w:w="4933"/>
        <w:gridCol w:w="4933"/>
      </w:tblGrid>
      <w:tr>
        <w:trPr>
          <w:cantSplit/>
        </w:trPr>
        <w:tc>
          <w:tcPr>
            <w:tcW w:type="dxa" w:w="2948"/>
            <w:shd w:fill="0D3265"/>
            <w:tcMar>
              <w:top w:w="90" w:type="dxa"/>
              <w:start w:w="100" w:type="dxa"/>
              <w:bottom w:w="90" w:type="dxa"/>
              <w:end w:w="100" w:type="dxa"/>
            </w:tcMar>
          </w:tcPr>
          <w:p>
            <w:r>
              <w:rPr>
                <w:b/>
                <w:color w:val="FFFFFF"/>
                <w:sz w:val="18"/>
              </w:rPr>
              <w:t>Evidence Element</w:t>
            </w:r>
          </w:p>
        </w:tc>
        <w:tc>
          <w:tcPr>
            <w:tcW w:type="dxa" w:w="6917"/>
            <w:shd w:fill="0D3265"/>
            <w:tcMar>
              <w:top w:w="90" w:type="dxa"/>
              <w:start w:w="100" w:type="dxa"/>
              <w:bottom w:w="90" w:type="dxa"/>
              <w:end w:w="100" w:type="dxa"/>
            </w:tcMar>
          </w:tcPr>
          <w:p>
            <w:r>
              <w:rPr>
                <w:b/>
                <w:color w:val="FFFFFF"/>
                <w:sz w:val="18"/>
              </w:rPr>
              <w:t>Why It Matters</w:t>
            </w:r>
          </w:p>
        </w:tc>
      </w:tr>
      <w:tr>
        <w:trPr>
          <w:cantSplit/>
        </w:trPr>
        <w:tc>
          <w:tcPr>
            <w:tcW w:type="dxa" w:w="2948"/>
            <w:tcMar>
              <w:top w:w="90" w:type="dxa"/>
              <w:start w:w="100" w:type="dxa"/>
              <w:bottom w:w="90" w:type="dxa"/>
              <w:end w:w="100" w:type="dxa"/>
            </w:tcMar>
            <w:vAlign w:val="top"/>
          </w:tcPr>
          <w:p>
            <w:pPr>
              <w:spacing w:after="0"/>
            </w:pPr>
            <w:r>
              <w:rPr>
                <w:sz w:val="18"/>
              </w:rPr>
              <w:t>Entry Point</w:t>
            </w:r>
          </w:p>
        </w:tc>
        <w:tc>
          <w:tcPr>
            <w:tcW w:type="dxa" w:w="6917"/>
            <w:tcMar>
              <w:top w:w="90" w:type="dxa"/>
              <w:start w:w="100" w:type="dxa"/>
              <w:bottom w:w="90" w:type="dxa"/>
              <w:end w:w="100" w:type="dxa"/>
            </w:tcMar>
            <w:vAlign w:val="top"/>
          </w:tcPr>
          <w:p>
            <w:pPr>
              <w:spacing w:after="0"/>
            </w:pPr>
            <w:r>
              <w:rPr>
                <w:sz w:val="18"/>
              </w:rPr>
              <w:t>Shows which exposed component enabled compromise.</w:t>
            </w:r>
          </w:p>
        </w:tc>
      </w:tr>
      <w:tr>
        <w:trPr>
          <w:cantSplit/>
        </w:trPr>
        <w:tc>
          <w:tcPr>
            <w:tcW w:type="dxa" w:w="2948"/>
            <w:shd w:fill="F7FAFC"/>
            <w:tcMar>
              <w:top w:w="90" w:type="dxa"/>
              <w:start w:w="100" w:type="dxa"/>
              <w:bottom w:w="90" w:type="dxa"/>
              <w:end w:w="100" w:type="dxa"/>
            </w:tcMar>
            <w:vAlign w:val="top"/>
          </w:tcPr>
          <w:p>
            <w:pPr>
              <w:spacing w:after="0"/>
            </w:pPr>
            <w:r>
              <w:rPr>
                <w:sz w:val="18"/>
              </w:rPr>
              <w:t>Precondition</w:t>
            </w:r>
          </w:p>
        </w:tc>
        <w:tc>
          <w:tcPr>
            <w:tcW w:type="dxa" w:w="6917"/>
            <w:shd w:fill="F7FAFC"/>
            <w:tcMar>
              <w:top w:w="90" w:type="dxa"/>
              <w:start w:w="100" w:type="dxa"/>
              <w:bottom w:w="90" w:type="dxa"/>
              <w:end w:w="100" w:type="dxa"/>
            </w:tcMar>
            <w:vAlign w:val="top"/>
          </w:tcPr>
          <w:p>
            <w:pPr>
              <w:spacing w:after="0"/>
            </w:pPr>
            <w:r>
              <w:rPr>
                <w:sz w:val="18"/>
              </w:rPr>
              <w:t>Explains what had to be true for the compromise to work.</w:t>
            </w:r>
          </w:p>
        </w:tc>
      </w:tr>
      <w:tr>
        <w:trPr>
          <w:cantSplit/>
        </w:trPr>
        <w:tc>
          <w:tcPr>
            <w:tcW w:type="dxa" w:w="2948"/>
            <w:tcMar>
              <w:top w:w="90" w:type="dxa"/>
              <w:start w:w="100" w:type="dxa"/>
              <w:bottom w:w="90" w:type="dxa"/>
              <w:end w:w="100" w:type="dxa"/>
            </w:tcMar>
            <w:vAlign w:val="top"/>
          </w:tcPr>
          <w:p>
            <w:pPr>
              <w:spacing w:after="0"/>
            </w:pPr>
            <w:r>
              <w:rPr>
                <w:sz w:val="18"/>
              </w:rPr>
              <w:t>Resulting Context</w:t>
            </w:r>
          </w:p>
        </w:tc>
        <w:tc>
          <w:tcPr>
            <w:tcW w:type="dxa" w:w="6917"/>
            <w:tcMar>
              <w:top w:w="90" w:type="dxa"/>
              <w:start w:w="100" w:type="dxa"/>
              <w:bottom w:w="90" w:type="dxa"/>
              <w:end w:w="100" w:type="dxa"/>
            </w:tcMar>
            <w:vAlign w:val="top"/>
          </w:tcPr>
          <w:p>
            <w:pPr>
              <w:spacing w:after="0"/>
            </w:pPr>
            <w:r>
              <w:rPr>
                <w:sz w:val="18"/>
              </w:rPr>
              <w:t>Shows which user, service or privilege level was obtained.</w:t>
            </w:r>
          </w:p>
        </w:tc>
      </w:tr>
      <w:tr>
        <w:trPr>
          <w:cantSplit/>
        </w:trPr>
        <w:tc>
          <w:tcPr>
            <w:tcW w:type="dxa" w:w="2948"/>
            <w:shd w:fill="F7FAFC"/>
            <w:tcMar>
              <w:top w:w="90" w:type="dxa"/>
              <w:start w:w="100" w:type="dxa"/>
              <w:bottom w:w="90" w:type="dxa"/>
              <w:end w:w="100" w:type="dxa"/>
            </w:tcMar>
            <w:vAlign w:val="top"/>
          </w:tcPr>
          <w:p>
            <w:pPr>
              <w:spacing w:after="0"/>
            </w:pPr>
            <w:r>
              <w:rPr>
                <w:sz w:val="18"/>
              </w:rPr>
              <w:t>Timestamp and Reference</w:t>
            </w:r>
          </w:p>
        </w:tc>
        <w:tc>
          <w:tcPr>
            <w:tcW w:type="dxa" w:w="6917"/>
            <w:shd w:fill="F7FAFC"/>
            <w:tcMar>
              <w:top w:w="90" w:type="dxa"/>
              <w:start w:w="100" w:type="dxa"/>
              <w:bottom w:w="90" w:type="dxa"/>
              <w:end w:w="100" w:type="dxa"/>
            </w:tcMar>
            <w:vAlign w:val="top"/>
          </w:tcPr>
          <w:p>
            <w:pPr>
              <w:spacing w:after="0"/>
            </w:pPr>
            <w:r>
              <w:rPr>
                <w:sz w:val="18"/>
              </w:rPr>
              <w:t>Makes the evidence traceable to the operator log.</w:t>
            </w:r>
          </w:p>
        </w:tc>
      </w:tr>
      <w:tr>
        <w:trPr>
          <w:cantSplit/>
        </w:trPr>
        <w:tc>
          <w:tcPr>
            <w:tcW w:type="dxa" w:w="2948"/>
            <w:tcMar>
              <w:top w:w="90" w:type="dxa"/>
              <w:start w:w="100" w:type="dxa"/>
              <w:bottom w:w="90" w:type="dxa"/>
              <w:end w:w="100" w:type="dxa"/>
            </w:tcMar>
            <w:vAlign w:val="top"/>
          </w:tcPr>
          <w:p>
            <w:pPr>
              <w:spacing w:after="0"/>
            </w:pPr>
            <w:r>
              <w:rPr>
                <w:sz w:val="18"/>
              </w:rPr>
              <w:t>Impact Explanation</w:t>
            </w:r>
          </w:p>
        </w:tc>
        <w:tc>
          <w:tcPr>
            <w:tcW w:type="dxa" w:w="6917"/>
            <w:tcMar>
              <w:top w:w="90" w:type="dxa"/>
              <w:start w:w="100" w:type="dxa"/>
              <w:bottom w:w="90" w:type="dxa"/>
              <w:end w:w="100" w:type="dxa"/>
            </w:tcMar>
            <w:vAlign w:val="top"/>
          </w:tcPr>
          <w:p>
            <w:pPr>
              <w:spacing w:after="0"/>
            </w:pPr>
            <w:r>
              <w:rPr>
                <w:sz w:val="18"/>
              </w:rPr>
              <w:t>Connects technical access to realistic risk.</w:t>
            </w:r>
          </w:p>
        </w:tc>
      </w:tr>
    </w:tbl>
    <w:p>
      <w:pPr>
        <w:spacing w:after="0"/>
      </w:pPr>
    </w:p>
    <w:p>
      <w:pPr>
        <w:pStyle w:val="Heading2"/>
      </w:pPr>
      <w:r>
        <w:t>Study Check</w:t>
      </w:r>
    </w:p>
    <w:p>
      <w:pPr>
        <w:pStyle w:val="ListNumber"/>
        <w:spacing w:after="60"/>
      </w:pPr>
      <w:r>
        <w:t>Why is “I got a shell” not enough for a professional finding?</w:t>
      </w:r>
    </w:p>
    <w:p>
      <w:pPr>
        <w:pStyle w:val="ListNumber"/>
        <w:spacing w:after="60"/>
      </w:pPr>
      <w:r>
        <w:t>What does “least destructive method” mean in an authorised training assessment?</w:t>
      </w:r>
    </w:p>
    <w:p>
      <w:pPr>
        <w:pStyle w:val="Heading1"/>
      </w:pPr>
      <w:r>
        <w:t>Module 6 - Linux Post-Exploitation</w:t>
      </w:r>
    </w:p>
    <w:p>
      <w:r>
        <w:t>Post-exploitation begins after initial access. The objective is to understand the compromised host, its privilege boundaries, local services, permissions and security controls. Random commands are less useful than a structured host-enumeration plan.</w:t>
      </w:r>
    </w:p>
    <w:p>
      <w:pPr>
        <w:pStyle w:val="Heading2"/>
      </w:pPr>
      <w:r>
        <w:t>6.1 Host-Enumeration Areas</w:t>
      </w:r>
    </w:p>
    <w:tbl>
      <w:tblPr>
        <w:tblStyle w:val="TableGrid"/>
        <w:tblW w:type="auto" w:w="0"/>
        <w:jc w:val="center"/>
        <w:tblLook w:firstColumn="1" w:firstRow="1" w:lastColumn="0" w:lastRow="0" w:noHBand="0" w:noVBand="1" w:val="04A0"/>
      </w:tblPr>
      <w:tblGrid>
        <w:gridCol w:w="4933"/>
        <w:gridCol w:w="4933"/>
      </w:tblGrid>
      <w:tr>
        <w:trPr>
          <w:cantSplit/>
        </w:trPr>
        <w:tc>
          <w:tcPr>
            <w:tcW w:type="dxa" w:w="2494"/>
            <w:shd w:fill="0D3265"/>
            <w:tcMar>
              <w:top w:w="90" w:type="dxa"/>
              <w:start w:w="100" w:type="dxa"/>
              <w:bottom w:w="90" w:type="dxa"/>
              <w:end w:w="100" w:type="dxa"/>
            </w:tcMar>
          </w:tcPr>
          <w:p>
            <w:r>
              <w:rPr>
                <w:b/>
                <w:color w:val="FFFFFF"/>
                <w:sz w:val="18"/>
              </w:rPr>
              <w:t>Area</w:t>
            </w:r>
          </w:p>
        </w:tc>
        <w:tc>
          <w:tcPr>
            <w:tcW w:type="dxa" w:w="7370"/>
            <w:shd w:fill="0D3265"/>
            <w:tcMar>
              <w:top w:w="90" w:type="dxa"/>
              <w:start w:w="100" w:type="dxa"/>
              <w:bottom w:w="90" w:type="dxa"/>
              <w:end w:w="100" w:type="dxa"/>
            </w:tcMar>
          </w:tcPr>
          <w:p>
            <w:r>
              <w:rPr>
                <w:b/>
                <w:color w:val="FFFFFF"/>
                <w:sz w:val="18"/>
              </w:rPr>
              <w:t>What to Understand</w:t>
            </w:r>
          </w:p>
        </w:tc>
      </w:tr>
      <w:tr>
        <w:trPr>
          <w:cantSplit/>
        </w:trPr>
        <w:tc>
          <w:tcPr>
            <w:tcW w:type="dxa" w:w="2494"/>
            <w:tcMar>
              <w:top w:w="90" w:type="dxa"/>
              <w:start w:w="100" w:type="dxa"/>
              <w:bottom w:w="90" w:type="dxa"/>
              <w:end w:w="100" w:type="dxa"/>
            </w:tcMar>
            <w:vAlign w:val="top"/>
          </w:tcPr>
          <w:p>
            <w:pPr>
              <w:spacing w:after="0"/>
            </w:pPr>
            <w:r>
              <w:rPr>
                <w:sz w:val="18"/>
              </w:rPr>
              <w:t>Identity</w:t>
            </w:r>
          </w:p>
        </w:tc>
        <w:tc>
          <w:tcPr>
            <w:tcW w:type="dxa" w:w="7370"/>
            <w:tcMar>
              <w:top w:w="90" w:type="dxa"/>
              <w:start w:w="100" w:type="dxa"/>
              <w:bottom w:w="90" w:type="dxa"/>
              <w:end w:w="100" w:type="dxa"/>
            </w:tcMar>
            <w:vAlign w:val="top"/>
          </w:tcPr>
          <w:p>
            <w:pPr>
              <w:spacing w:after="0"/>
            </w:pPr>
            <w:r>
              <w:rPr>
                <w:sz w:val="18"/>
              </w:rPr>
              <w:t>Current user, groups, effective privileges and session context.</w:t>
            </w:r>
          </w:p>
        </w:tc>
      </w:tr>
      <w:tr>
        <w:trPr>
          <w:cantSplit/>
        </w:trPr>
        <w:tc>
          <w:tcPr>
            <w:tcW w:type="dxa" w:w="2494"/>
            <w:shd w:fill="F7FAFC"/>
            <w:tcMar>
              <w:top w:w="90" w:type="dxa"/>
              <w:start w:w="100" w:type="dxa"/>
              <w:bottom w:w="90" w:type="dxa"/>
              <w:end w:w="100" w:type="dxa"/>
            </w:tcMar>
            <w:vAlign w:val="top"/>
          </w:tcPr>
          <w:p>
            <w:pPr>
              <w:spacing w:after="0"/>
            </w:pPr>
            <w:r>
              <w:rPr>
                <w:sz w:val="18"/>
              </w:rPr>
              <w:t>Users and Groups</w:t>
            </w:r>
          </w:p>
        </w:tc>
        <w:tc>
          <w:tcPr>
            <w:tcW w:type="dxa" w:w="7370"/>
            <w:shd w:fill="F7FAFC"/>
            <w:tcMar>
              <w:top w:w="90" w:type="dxa"/>
              <w:start w:w="100" w:type="dxa"/>
              <w:bottom w:w="90" w:type="dxa"/>
              <w:end w:w="100" w:type="dxa"/>
            </w:tcMar>
            <w:vAlign w:val="top"/>
          </w:tcPr>
          <w:p>
            <w:pPr>
              <w:spacing w:after="0"/>
            </w:pPr>
            <w:r>
              <w:rPr>
                <w:sz w:val="18"/>
              </w:rPr>
              <w:t>Accounts, administrative groups, service accounts and trust relationships.</w:t>
            </w:r>
          </w:p>
        </w:tc>
      </w:tr>
      <w:tr>
        <w:trPr>
          <w:cantSplit/>
        </w:trPr>
        <w:tc>
          <w:tcPr>
            <w:tcW w:type="dxa" w:w="2494"/>
            <w:tcMar>
              <w:top w:w="90" w:type="dxa"/>
              <w:start w:w="100" w:type="dxa"/>
              <w:bottom w:w="90" w:type="dxa"/>
              <w:end w:w="100" w:type="dxa"/>
            </w:tcMar>
            <w:vAlign w:val="top"/>
          </w:tcPr>
          <w:p>
            <w:pPr>
              <w:spacing w:after="0"/>
            </w:pPr>
            <w:r>
              <w:rPr>
                <w:sz w:val="18"/>
              </w:rPr>
              <w:t>Permissions</w:t>
            </w:r>
          </w:p>
        </w:tc>
        <w:tc>
          <w:tcPr>
            <w:tcW w:type="dxa" w:w="7370"/>
            <w:tcMar>
              <w:top w:w="90" w:type="dxa"/>
              <w:start w:w="100" w:type="dxa"/>
              <w:bottom w:w="90" w:type="dxa"/>
              <w:end w:w="100" w:type="dxa"/>
            </w:tcMar>
            <w:vAlign w:val="top"/>
          </w:tcPr>
          <w:p>
            <w:pPr>
              <w:spacing w:after="0"/>
            </w:pPr>
            <w:r>
              <w:rPr>
                <w:sz w:val="18"/>
              </w:rPr>
              <w:t>Sensitive files or directories that are unexpectedly readable or writable.</w:t>
            </w:r>
          </w:p>
        </w:tc>
      </w:tr>
      <w:tr>
        <w:trPr>
          <w:cantSplit/>
        </w:trPr>
        <w:tc>
          <w:tcPr>
            <w:tcW w:type="dxa" w:w="2494"/>
            <w:shd w:fill="F7FAFC"/>
            <w:tcMar>
              <w:top w:w="90" w:type="dxa"/>
              <w:start w:w="100" w:type="dxa"/>
              <w:bottom w:w="90" w:type="dxa"/>
              <w:end w:w="100" w:type="dxa"/>
            </w:tcMar>
            <w:vAlign w:val="top"/>
          </w:tcPr>
          <w:p>
            <w:pPr>
              <w:spacing w:after="0"/>
            </w:pPr>
            <w:r>
              <w:rPr>
                <w:sz w:val="18"/>
              </w:rPr>
              <w:t>Sudo / Delegated Rights</w:t>
            </w:r>
          </w:p>
        </w:tc>
        <w:tc>
          <w:tcPr>
            <w:tcW w:type="dxa" w:w="7370"/>
            <w:shd w:fill="F7FAFC"/>
            <w:tcMar>
              <w:top w:w="90" w:type="dxa"/>
              <w:start w:w="100" w:type="dxa"/>
              <w:bottom w:w="90" w:type="dxa"/>
              <w:end w:w="100" w:type="dxa"/>
            </w:tcMar>
            <w:vAlign w:val="top"/>
          </w:tcPr>
          <w:p>
            <w:pPr>
              <w:spacing w:after="0"/>
            </w:pPr>
            <w:r>
              <w:rPr>
                <w:sz w:val="18"/>
              </w:rPr>
              <w:t>Commands or programs that can be executed with elevated rights and under what conditions.</w:t>
            </w:r>
          </w:p>
        </w:tc>
      </w:tr>
      <w:tr>
        <w:trPr>
          <w:cantSplit/>
        </w:trPr>
        <w:tc>
          <w:tcPr>
            <w:tcW w:type="dxa" w:w="2494"/>
            <w:tcMar>
              <w:top w:w="90" w:type="dxa"/>
              <w:start w:w="100" w:type="dxa"/>
              <w:bottom w:w="90" w:type="dxa"/>
              <w:end w:w="100" w:type="dxa"/>
            </w:tcMar>
            <w:vAlign w:val="top"/>
          </w:tcPr>
          <w:p>
            <w:pPr>
              <w:spacing w:after="0"/>
            </w:pPr>
            <w:r>
              <w:rPr>
                <w:sz w:val="18"/>
              </w:rPr>
              <w:t>Privileged Execution</w:t>
            </w:r>
          </w:p>
        </w:tc>
        <w:tc>
          <w:tcPr>
            <w:tcW w:type="dxa" w:w="7370"/>
            <w:tcMar>
              <w:top w:w="90" w:type="dxa"/>
              <w:start w:w="100" w:type="dxa"/>
              <w:bottom w:w="90" w:type="dxa"/>
              <w:end w:w="100" w:type="dxa"/>
            </w:tcMar>
            <w:vAlign w:val="top"/>
          </w:tcPr>
          <w:p>
            <w:pPr>
              <w:spacing w:after="0"/>
            </w:pPr>
            <w:r>
              <w:rPr>
                <w:sz w:val="18"/>
              </w:rPr>
              <w:t>SUID/SGID programs, capabilities and other local privilege mechanisms.</w:t>
            </w:r>
          </w:p>
        </w:tc>
      </w:tr>
      <w:tr>
        <w:trPr>
          <w:cantSplit/>
        </w:trPr>
        <w:tc>
          <w:tcPr>
            <w:tcW w:type="dxa" w:w="2494"/>
            <w:shd w:fill="F7FAFC"/>
            <w:tcMar>
              <w:top w:w="90" w:type="dxa"/>
              <w:start w:w="100" w:type="dxa"/>
              <w:bottom w:w="90" w:type="dxa"/>
              <w:end w:w="100" w:type="dxa"/>
            </w:tcMar>
            <w:vAlign w:val="top"/>
          </w:tcPr>
          <w:p>
            <w:pPr>
              <w:spacing w:after="0"/>
            </w:pPr>
            <w:r>
              <w:rPr>
                <w:sz w:val="18"/>
              </w:rPr>
              <w:t>Processes and Services</w:t>
            </w:r>
          </w:p>
        </w:tc>
        <w:tc>
          <w:tcPr>
            <w:tcW w:type="dxa" w:w="7370"/>
            <w:shd w:fill="F7FAFC"/>
            <w:tcMar>
              <w:top w:w="90" w:type="dxa"/>
              <w:start w:w="100" w:type="dxa"/>
              <w:bottom w:w="90" w:type="dxa"/>
              <w:end w:w="100" w:type="dxa"/>
            </w:tcMar>
            <w:vAlign w:val="top"/>
          </w:tcPr>
          <w:p>
            <w:pPr>
              <w:spacing w:after="0"/>
            </w:pPr>
            <w:r>
              <w:rPr>
                <w:sz w:val="18"/>
              </w:rPr>
              <w:t>Which processes run with elevated privileges and how they are configured.</w:t>
            </w:r>
          </w:p>
        </w:tc>
      </w:tr>
      <w:tr>
        <w:trPr>
          <w:cantSplit/>
        </w:trPr>
        <w:tc>
          <w:tcPr>
            <w:tcW w:type="dxa" w:w="2494"/>
            <w:tcMar>
              <w:top w:w="90" w:type="dxa"/>
              <w:start w:w="100" w:type="dxa"/>
              <w:bottom w:w="90" w:type="dxa"/>
              <w:end w:w="100" w:type="dxa"/>
            </w:tcMar>
            <w:vAlign w:val="top"/>
          </w:tcPr>
          <w:p>
            <w:pPr>
              <w:spacing w:after="0"/>
            </w:pPr>
            <w:r>
              <w:rPr>
                <w:sz w:val="18"/>
              </w:rPr>
              <w:t>Scheduled Activity</w:t>
            </w:r>
          </w:p>
        </w:tc>
        <w:tc>
          <w:tcPr>
            <w:tcW w:type="dxa" w:w="7370"/>
            <w:tcMar>
              <w:top w:w="90" w:type="dxa"/>
              <w:start w:w="100" w:type="dxa"/>
              <w:bottom w:w="90" w:type="dxa"/>
              <w:end w:w="100" w:type="dxa"/>
            </w:tcMar>
            <w:vAlign w:val="top"/>
          </w:tcPr>
          <w:p>
            <w:pPr>
              <w:spacing w:after="0"/>
            </w:pPr>
            <w:r>
              <w:rPr>
                <w:sz w:val="18"/>
              </w:rPr>
              <w:t>Recurring jobs or scripts that may execute with higher privilege.</w:t>
            </w:r>
          </w:p>
        </w:tc>
      </w:tr>
      <w:tr>
        <w:trPr>
          <w:cantSplit/>
        </w:trPr>
        <w:tc>
          <w:tcPr>
            <w:tcW w:type="dxa" w:w="2494"/>
            <w:shd w:fill="F7FAFC"/>
            <w:tcMar>
              <w:top w:w="90" w:type="dxa"/>
              <w:start w:w="100" w:type="dxa"/>
              <w:bottom w:w="90" w:type="dxa"/>
              <w:end w:w="100" w:type="dxa"/>
            </w:tcMar>
            <w:vAlign w:val="top"/>
          </w:tcPr>
          <w:p>
            <w:pPr>
              <w:spacing w:after="0"/>
            </w:pPr>
            <w:r>
              <w:rPr>
                <w:sz w:val="18"/>
              </w:rPr>
              <w:t>Installed Software</w:t>
            </w:r>
          </w:p>
        </w:tc>
        <w:tc>
          <w:tcPr>
            <w:tcW w:type="dxa" w:w="7370"/>
            <w:shd w:fill="F7FAFC"/>
            <w:tcMar>
              <w:top w:w="90" w:type="dxa"/>
              <w:start w:w="100" w:type="dxa"/>
              <w:bottom w:w="90" w:type="dxa"/>
              <w:end w:w="100" w:type="dxa"/>
            </w:tcMar>
            <w:vAlign w:val="top"/>
          </w:tcPr>
          <w:p>
            <w:pPr>
              <w:spacing w:after="0"/>
            </w:pPr>
            <w:r>
              <w:rPr>
                <w:sz w:val="18"/>
              </w:rPr>
              <w:t>Components whose version or configuration may create local risk.</w:t>
            </w:r>
          </w:p>
        </w:tc>
      </w:tr>
      <w:tr>
        <w:trPr>
          <w:cantSplit/>
        </w:trPr>
        <w:tc>
          <w:tcPr>
            <w:tcW w:type="dxa" w:w="2494"/>
            <w:tcMar>
              <w:top w:w="90" w:type="dxa"/>
              <w:start w:w="100" w:type="dxa"/>
              <w:bottom w:w="90" w:type="dxa"/>
              <w:end w:w="100" w:type="dxa"/>
            </w:tcMar>
            <w:vAlign w:val="top"/>
          </w:tcPr>
          <w:p>
            <w:pPr>
              <w:spacing w:after="0"/>
            </w:pPr>
            <w:r>
              <w:rPr>
                <w:sz w:val="18"/>
              </w:rPr>
              <w:t>Secrets</w:t>
            </w:r>
          </w:p>
        </w:tc>
        <w:tc>
          <w:tcPr>
            <w:tcW w:type="dxa" w:w="7370"/>
            <w:tcMar>
              <w:top w:w="90" w:type="dxa"/>
              <w:start w:w="100" w:type="dxa"/>
              <w:bottom w:w="90" w:type="dxa"/>
              <w:end w:w="100" w:type="dxa"/>
            </w:tcMar>
            <w:vAlign w:val="top"/>
          </w:tcPr>
          <w:p>
            <w:pPr>
              <w:spacing w:after="0"/>
            </w:pPr>
            <w:r>
              <w:rPr>
                <w:sz w:val="18"/>
              </w:rPr>
              <w:t>Mission-relevant credentials, keys, tokens or configuration secrets exposed through poor handling.</w:t>
            </w:r>
          </w:p>
        </w:tc>
      </w:tr>
      <w:tr>
        <w:trPr>
          <w:cantSplit/>
        </w:trPr>
        <w:tc>
          <w:tcPr>
            <w:tcW w:type="dxa" w:w="2494"/>
            <w:shd w:fill="F7FAFC"/>
            <w:tcMar>
              <w:top w:w="90" w:type="dxa"/>
              <w:start w:w="100" w:type="dxa"/>
              <w:bottom w:w="90" w:type="dxa"/>
              <w:end w:w="100" w:type="dxa"/>
            </w:tcMar>
            <w:vAlign w:val="top"/>
          </w:tcPr>
          <w:p>
            <w:pPr>
              <w:spacing w:after="0"/>
            </w:pPr>
            <w:r>
              <w:rPr>
                <w:sz w:val="18"/>
              </w:rPr>
              <w:t>Network Context</w:t>
            </w:r>
          </w:p>
        </w:tc>
        <w:tc>
          <w:tcPr>
            <w:tcW w:type="dxa" w:w="7370"/>
            <w:shd w:fill="F7FAFC"/>
            <w:tcMar>
              <w:top w:w="90" w:type="dxa"/>
              <w:start w:w="100" w:type="dxa"/>
              <w:bottom w:w="90" w:type="dxa"/>
              <w:end w:w="100" w:type="dxa"/>
            </w:tcMar>
            <w:vAlign w:val="top"/>
          </w:tcPr>
          <w:p>
            <w:pPr>
              <w:spacing w:after="0"/>
            </w:pPr>
            <w:r>
              <w:rPr>
                <w:sz w:val="18"/>
              </w:rPr>
              <w:t>Local listeners, connections and management interfaces visible after access.</w:t>
            </w:r>
          </w:p>
        </w:tc>
      </w:tr>
      <w:tr>
        <w:trPr>
          <w:cantSplit/>
        </w:trPr>
        <w:tc>
          <w:tcPr>
            <w:tcW w:type="dxa" w:w="2494"/>
            <w:tcMar>
              <w:top w:w="90" w:type="dxa"/>
              <w:start w:w="100" w:type="dxa"/>
              <w:bottom w:w="90" w:type="dxa"/>
              <w:end w:w="100" w:type="dxa"/>
            </w:tcMar>
            <w:vAlign w:val="top"/>
          </w:tcPr>
          <w:p>
            <w:pPr>
              <w:spacing w:after="0"/>
            </w:pPr>
            <w:r>
              <w:rPr>
                <w:sz w:val="18"/>
              </w:rPr>
              <w:t>Security Controls</w:t>
            </w:r>
          </w:p>
        </w:tc>
        <w:tc>
          <w:tcPr>
            <w:tcW w:type="dxa" w:w="7370"/>
            <w:tcMar>
              <w:top w:w="90" w:type="dxa"/>
              <w:start w:w="100" w:type="dxa"/>
              <w:bottom w:w="90" w:type="dxa"/>
              <w:end w:w="100" w:type="dxa"/>
            </w:tcMar>
            <w:vAlign w:val="top"/>
          </w:tcPr>
          <w:p>
            <w:pPr>
              <w:spacing w:after="0"/>
            </w:pPr>
            <w:r>
              <w:rPr>
                <w:sz w:val="18"/>
              </w:rPr>
              <w:t>Controls that are present, missing or misconfigured.</w:t>
            </w:r>
          </w:p>
        </w:tc>
      </w:tr>
    </w:tbl>
    <w:p>
      <w:pPr>
        <w:spacing w:after="0"/>
      </w:pPr>
    </w:p>
    <w:tbl>
      <w:tblPr>
        <w:tblW w:type="auto" w:w="0"/>
        <w:jc w:val="center"/>
        <w:tblLook w:firstColumn="1" w:firstRow="1" w:lastColumn="0" w:lastRow="0" w:noHBand="0" w:noVBand="1" w:val="04A0"/>
      </w:tblPr>
      <w:tblGrid>
        <w:gridCol w:w="9866"/>
      </w:tblGrid>
      <w:tr>
        <w:trPr>
          <w:cantSplit/>
        </w:trPr>
        <w:tc>
          <w:tcPr>
            <w:tcW w:type="dxa" w:w="9866"/>
            <w:shd w:fill="EAF4FB"/>
            <w:tcMar>
              <w:top w:w="120" w:type="dxa"/>
              <w:start w:w="150" w:type="dxa"/>
              <w:bottom w:w="120" w:type="dxa"/>
              <w:end w:w="150" w:type="dxa"/>
            </w:tcMar>
          </w:tcPr>
          <w:p>
            <w:pPr>
              <w:spacing w:after="40"/>
            </w:pPr>
            <w:r>
              <w:rPr>
                <w:b/>
                <w:color w:val="0D3265"/>
                <w:sz w:val="21"/>
              </w:rPr>
              <w:t>POST-EXPLOITATION DISCIPLINE</w:t>
            </w:r>
          </w:p>
          <w:p>
            <w:pPr>
              <w:spacing w:after="0"/>
            </w:pPr>
            <w:r>
              <w:rPr>
                <w:sz w:val="20"/>
              </w:rPr>
              <w:t>The purpose of host enumeration is to explain the privilege boundary and identify evidence-backed escalation opportunities. It is not an excuse to collect unrelated data or make unnecessary changes.</w:t>
            </w:r>
          </w:p>
        </w:tc>
      </w:tr>
    </w:tbl>
    <w:p>
      <w:pPr>
        <w:spacing w:after="0"/>
      </w:pPr>
    </w:p>
    <w:p>
      <w:pPr>
        <w:pStyle w:val="Heading2"/>
      </w:pPr>
      <w:r>
        <w:t>Study Check</w:t>
      </w:r>
    </w:p>
    <w:p>
      <w:pPr>
        <w:pStyle w:val="ListNumber"/>
        <w:spacing w:after="60"/>
      </w:pPr>
      <w:r>
        <w:t>Why should post-exploitation enumeration come before privilege-escalation attempts?</w:t>
      </w:r>
    </w:p>
    <w:p>
      <w:pPr>
        <w:pStyle w:val="ListNumber"/>
        <w:spacing w:after="60"/>
      </w:pPr>
      <w:r>
        <w:t>Which local host areas commonly reveal privilege-boundary weaknesses?</w:t>
      </w:r>
    </w:p>
    <w:p>
      <w:pPr>
        <w:pStyle w:val="Heading1"/>
      </w:pPr>
      <w:r>
        <w:t>Module 7 - Privilege Escalation Concepts</w:t>
      </w:r>
    </w:p>
    <w:p>
      <w:r>
        <w:t>Privilege escalation is the process of moving from the initial access context to a higher authorised privilege level by exploiting a weakness in permissions, configuration, delegated execution, services or software. The learning goal is to understand why the privilege boundary failed.</w:t>
      </w:r>
    </w:p>
    <w:p>
      <w:pPr>
        <w:pStyle w:val="Heading2"/>
      </w:pPr>
      <w:r>
        <w:t>7.1 Common Categories to Investigate</w:t>
      </w:r>
    </w:p>
    <w:tbl>
      <w:tblPr>
        <w:tblStyle w:val="TableGrid"/>
        <w:tblW w:type="auto" w:w="0"/>
        <w:jc w:val="center"/>
        <w:tblLook w:firstColumn="1" w:firstRow="1" w:lastColumn="0" w:lastRow="0" w:noHBand="0" w:noVBand="1" w:val="04A0"/>
      </w:tblPr>
      <w:tblGrid>
        <w:gridCol w:w="4933"/>
        <w:gridCol w:w="4933"/>
      </w:tblGrid>
      <w:tr>
        <w:trPr>
          <w:cantSplit/>
        </w:trPr>
        <w:tc>
          <w:tcPr>
            <w:tcW w:type="dxa" w:w="3061"/>
            <w:shd w:fill="0D3265"/>
            <w:tcMar>
              <w:top w:w="90" w:type="dxa"/>
              <w:start w:w="100" w:type="dxa"/>
              <w:bottom w:w="90" w:type="dxa"/>
              <w:end w:w="100" w:type="dxa"/>
            </w:tcMar>
          </w:tcPr>
          <w:p>
            <w:r>
              <w:rPr>
                <w:b/>
                <w:color w:val="FFFFFF"/>
                <w:sz w:val="18"/>
              </w:rPr>
              <w:t>Category</w:t>
            </w:r>
          </w:p>
        </w:tc>
        <w:tc>
          <w:tcPr>
            <w:tcW w:type="dxa" w:w="6803"/>
            <w:shd w:fill="0D3265"/>
            <w:tcMar>
              <w:top w:w="90" w:type="dxa"/>
              <w:start w:w="100" w:type="dxa"/>
              <w:bottom w:w="90" w:type="dxa"/>
              <w:end w:w="100" w:type="dxa"/>
            </w:tcMar>
          </w:tcPr>
          <w:p>
            <w:r>
              <w:rPr>
                <w:b/>
                <w:color w:val="FFFFFF"/>
                <w:sz w:val="18"/>
              </w:rPr>
              <w:t>Conceptual Risk</w:t>
            </w:r>
          </w:p>
        </w:tc>
      </w:tr>
      <w:tr>
        <w:trPr>
          <w:cantSplit/>
        </w:trPr>
        <w:tc>
          <w:tcPr>
            <w:tcW w:type="dxa" w:w="3061"/>
            <w:tcMar>
              <w:top w:w="90" w:type="dxa"/>
              <w:start w:w="100" w:type="dxa"/>
              <w:bottom w:w="90" w:type="dxa"/>
              <w:end w:w="100" w:type="dxa"/>
            </w:tcMar>
            <w:vAlign w:val="top"/>
          </w:tcPr>
          <w:p>
            <w:pPr>
              <w:spacing w:after="0"/>
            </w:pPr>
            <w:r>
              <w:rPr>
                <w:sz w:val="18"/>
              </w:rPr>
              <w:t>Weak File Permissions</w:t>
            </w:r>
          </w:p>
        </w:tc>
        <w:tc>
          <w:tcPr>
            <w:tcW w:type="dxa" w:w="6803"/>
            <w:tcMar>
              <w:top w:w="90" w:type="dxa"/>
              <w:start w:w="100" w:type="dxa"/>
              <w:bottom w:w="90" w:type="dxa"/>
              <w:end w:w="100" w:type="dxa"/>
            </w:tcMar>
            <w:vAlign w:val="top"/>
          </w:tcPr>
          <w:p>
            <w:pPr>
              <w:spacing w:after="0"/>
            </w:pPr>
            <w:r>
              <w:rPr>
                <w:sz w:val="18"/>
              </w:rPr>
              <w:t>A lower-privileged user can modify or read files that influence higher-privileged execution.</w:t>
            </w:r>
          </w:p>
        </w:tc>
      </w:tr>
      <w:tr>
        <w:trPr>
          <w:cantSplit/>
        </w:trPr>
        <w:tc>
          <w:tcPr>
            <w:tcW w:type="dxa" w:w="3061"/>
            <w:shd w:fill="F7FAFC"/>
            <w:tcMar>
              <w:top w:w="90" w:type="dxa"/>
              <w:start w:w="100" w:type="dxa"/>
              <w:bottom w:w="90" w:type="dxa"/>
              <w:end w:w="100" w:type="dxa"/>
            </w:tcMar>
            <w:vAlign w:val="top"/>
          </w:tcPr>
          <w:p>
            <w:pPr>
              <w:spacing w:after="0"/>
            </w:pPr>
            <w:r>
              <w:rPr>
                <w:sz w:val="18"/>
              </w:rPr>
              <w:t>Unsafe Delegated Execution</w:t>
            </w:r>
          </w:p>
        </w:tc>
        <w:tc>
          <w:tcPr>
            <w:tcW w:type="dxa" w:w="6803"/>
            <w:shd w:fill="F7FAFC"/>
            <w:tcMar>
              <w:top w:w="90" w:type="dxa"/>
              <w:start w:w="100" w:type="dxa"/>
              <w:bottom w:w="90" w:type="dxa"/>
              <w:end w:w="100" w:type="dxa"/>
            </w:tcMar>
            <w:vAlign w:val="top"/>
          </w:tcPr>
          <w:p>
            <w:pPr>
              <w:spacing w:after="0"/>
            </w:pPr>
            <w:r>
              <w:rPr>
                <w:sz w:val="18"/>
              </w:rPr>
              <w:t>An account can execute privileged commands or programs in a way that provides more authority than intended.</w:t>
            </w:r>
          </w:p>
        </w:tc>
      </w:tr>
      <w:tr>
        <w:trPr>
          <w:cantSplit/>
        </w:trPr>
        <w:tc>
          <w:tcPr>
            <w:tcW w:type="dxa" w:w="3061"/>
            <w:tcMar>
              <w:top w:w="90" w:type="dxa"/>
              <w:start w:w="100" w:type="dxa"/>
              <w:bottom w:w="90" w:type="dxa"/>
              <w:end w:w="100" w:type="dxa"/>
            </w:tcMar>
            <w:vAlign w:val="top"/>
          </w:tcPr>
          <w:p>
            <w:pPr>
              <w:spacing w:after="0"/>
            </w:pPr>
            <w:r>
              <w:rPr>
                <w:sz w:val="18"/>
              </w:rPr>
              <w:t>Privileged Programs</w:t>
            </w:r>
          </w:p>
        </w:tc>
        <w:tc>
          <w:tcPr>
            <w:tcW w:type="dxa" w:w="6803"/>
            <w:tcMar>
              <w:top w:w="90" w:type="dxa"/>
              <w:start w:w="100" w:type="dxa"/>
              <w:bottom w:w="90" w:type="dxa"/>
              <w:end w:w="100" w:type="dxa"/>
            </w:tcMar>
            <w:vAlign w:val="top"/>
          </w:tcPr>
          <w:p>
            <w:pPr>
              <w:spacing w:after="0"/>
            </w:pPr>
            <w:r>
              <w:rPr>
                <w:sz w:val="18"/>
              </w:rPr>
              <w:t>Programs with elevated execution rights may expose unsafe behaviour or configuration.</w:t>
            </w:r>
          </w:p>
        </w:tc>
      </w:tr>
      <w:tr>
        <w:trPr>
          <w:cantSplit/>
        </w:trPr>
        <w:tc>
          <w:tcPr>
            <w:tcW w:type="dxa" w:w="3061"/>
            <w:shd w:fill="F7FAFC"/>
            <w:tcMar>
              <w:top w:w="90" w:type="dxa"/>
              <w:start w:w="100" w:type="dxa"/>
              <w:bottom w:w="90" w:type="dxa"/>
              <w:end w:w="100" w:type="dxa"/>
            </w:tcMar>
            <w:vAlign w:val="top"/>
          </w:tcPr>
          <w:p>
            <w:pPr>
              <w:spacing w:after="0"/>
            </w:pPr>
            <w:r>
              <w:rPr>
                <w:sz w:val="18"/>
              </w:rPr>
              <w:t>Scheduled Tasks / Jobs</w:t>
            </w:r>
          </w:p>
        </w:tc>
        <w:tc>
          <w:tcPr>
            <w:tcW w:type="dxa" w:w="6803"/>
            <w:shd w:fill="F7FAFC"/>
            <w:tcMar>
              <w:top w:w="90" w:type="dxa"/>
              <w:start w:w="100" w:type="dxa"/>
              <w:bottom w:w="90" w:type="dxa"/>
              <w:end w:w="100" w:type="dxa"/>
            </w:tcMar>
            <w:vAlign w:val="top"/>
          </w:tcPr>
          <w:p>
            <w:pPr>
              <w:spacing w:after="0"/>
            </w:pPr>
            <w:r>
              <w:rPr>
                <w:sz w:val="18"/>
              </w:rPr>
              <w:t>A higher-privileged recurring task may consume content that a lower-privileged user can influence.</w:t>
            </w:r>
          </w:p>
        </w:tc>
      </w:tr>
      <w:tr>
        <w:trPr>
          <w:cantSplit/>
        </w:trPr>
        <w:tc>
          <w:tcPr>
            <w:tcW w:type="dxa" w:w="3061"/>
            <w:tcMar>
              <w:top w:w="90" w:type="dxa"/>
              <w:start w:w="100" w:type="dxa"/>
              <w:bottom w:w="90" w:type="dxa"/>
              <w:end w:w="100" w:type="dxa"/>
            </w:tcMar>
            <w:vAlign w:val="top"/>
          </w:tcPr>
          <w:p>
            <w:pPr>
              <w:spacing w:after="0"/>
            </w:pPr>
            <w:r>
              <w:rPr>
                <w:sz w:val="18"/>
              </w:rPr>
              <w:t>Service Misconfiguration</w:t>
            </w:r>
          </w:p>
        </w:tc>
        <w:tc>
          <w:tcPr>
            <w:tcW w:type="dxa" w:w="6803"/>
            <w:tcMar>
              <w:top w:w="90" w:type="dxa"/>
              <w:start w:w="100" w:type="dxa"/>
              <w:bottom w:w="90" w:type="dxa"/>
              <w:end w:w="100" w:type="dxa"/>
            </w:tcMar>
            <w:vAlign w:val="top"/>
          </w:tcPr>
          <w:p>
            <w:pPr>
              <w:spacing w:after="0"/>
            </w:pPr>
            <w:r>
              <w:rPr>
                <w:sz w:val="18"/>
              </w:rPr>
              <w:t>A service running with high privilege may load writable configuration, scripts or binaries.</w:t>
            </w:r>
          </w:p>
        </w:tc>
      </w:tr>
      <w:tr>
        <w:trPr>
          <w:cantSplit/>
        </w:trPr>
        <w:tc>
          <w:tcPr>
            <w:tcW w:type="dxa" w:w="3061"/>
            <w:shd w:fill="F7FAFC"/>
            <w:tcMar>
              <w:top w:w="90" w:type="dxa"/>
              <w:start w:w="100" w:type="dxa"/>
              <w:bottom w:w="90" w:type="dxa"/>
              <w:end w:w="100" w:type="dxa"/>
            </w:tcMar>
            <w:vAlign w:val="top"/>
          </w:tcPr>
          <w:p>
            <w:pPr>
              <w:spacing w:after="0"/>
            </w:pPr>
            <w:r>
              <w:rPr>
                <w:sz w:val="18"/>
              </w:rPr>
              <w:t>Exposed Credentials</w:t>
            </w:r>
          </w:p>
        </w:tc>
        <w:tc>
          <w:tcPr>
            <w:tcW w:type="dxa" w:w="6803"/>
            <w:shd w:fill="F7FAFC"/>
            <w:tcMar>
              <w:top w:w="90" w:type="dxa"/>
              <w:start w:w="100" w:type="dxa"/>
              <w:bottom w:w="90" w:type="dxa"/>
              <w:end w:w="100" w:type="dxa"/>
            </w:tcMar>
            <w:vAlign w:val="top"/>
          </w:tcPr>
          <w:p>
            <w:pPr>
              <w:spacing w:after="0"/>
            </w:pPr>
            <w:r>
              <w:rPr>
                <w:sz w:val="18"/>
              </w:rPr>
              <w:t>Poorly protected secrets can provide access to a more privileged account or service.</w:t>
            </w:r>
          </w:p>
        </w:tc>
      </w:tr>
      <w:tr>
        <w:trPr>
          <w:cantSplit/>
        </w:trPr>
        <w:tc>
          <w:tcPr>
            <w:tcW w:type="dxa" w:w="3061"/>
            <w:tcMar>
              <w:top w:w="90" w:type="dxa"/>
              <w:start w:w="100" w:type="dxa"/>
              <w:bottom w:w="90" w:type="dxa"/>
              <w:end w:w="100" w:type="dxa"/>
            </w:tcMar>
            <w:vAlign w:val="top"/>
          </w:tcPr>
          <w:p>
            <w:pPr>
              <w:spacing w:after="0"/>
            </w:pPr>
            <w:r>
              <w:rPr>
                <w:sz w:val="18"/>
              </w:rPr>
              <w:t>Vulnerable Local Software</w:t>
            </w:r>
          </w:p>
        </w:tc>
        <w:tc>
          <w:tcPr>
            <w:tcW w:type="dxa" w:w="6803"/>
            <w:tcMar>
              <w:top w:w="90" w:type="dxa"/>
              <w:start w:w="100" w:type="dxa"/>
              <w:bottom w:w="90" w:type="dxa"/>
              <w:end w:w="100" w:type="dxa"/>
            </w:tcMar>
            <w:vAlign w:val="top"/>
          </w:tcPr>
          <w:p>
            <w:pPr>
              <w:spacing w:after="0"/>
            </w:pPr>
            <w:r>
              <w:rPr>
                <w:sz w:val="18"/>
              </w:rPr>
              <w:t>Installed software or the operating system may contain a local weakness relevant to the environment.</w:t>
            </w:r>
          </w:p>
        </w:tc>
      </w:tr>
    </w:tbl>
    <w:p>
      <w:pPr>
        <w:spacing w:after="0"/>
      </w:pPr>
    </w:p>
    <w:p>
      <w:pPr>
        <w:pStyle w:val="Heading2"/>
      </w:pPr>
      <w:r>
        <w:t>7.2 Evidence Standard for Escalation</w:t>
      </w:r>
    </w:p>
    <w:p>
      <w:pPr>
        <w:pStyle w:val="ListBullet"/>
        <w:spacing w:after="40"/>
        <w:ind w:left="340" w:hanging="142"/>
      </w:pPr>
      <w:r>
        <w:t>Show the privilege level before escalation.</w:t>
      </w:r>
    </w:p>
    <w:p>
      <w:pPr>
        <w:pStyle w:val="ListBullet"/>
        <w:spacing w:after="40"/>
        <w:ind w:left="340" w:hanging="142"/>
      </w:pPr>
      <w:r>
        <w:t>Record the observation that led to the escalation hypothesis.</w:t>
      </w:r>
    </w:p>
    <w:p>
      <w:pPr>
        <w:pStyle w:val="ListBullet"/>
        <w:spacing w:after="40"/>
        <w:ind w:left="340" w:hanging="142"/>
      </w:pPr>
      <w:r>
        <w:t>Explain why the weakness creates a privilege boundary failure.</w:t>
      </w:r>
    </w:p>
    <w:p>
      <w:pPr>
        <w:pStyle w:val="ListBullet"/>
        <w:spacing w:after="40"/>
        <w:ind w:left="340" w:hanging="142"/>
      </w:pPr>
      <w:r>
        <w:t>Preserve evidence of the resulting higher privilege level.</w:t>
      </w:r>
    </w:p>
    <w:p>
      <w:pPr>
        <w:pStyle w:val="ListBullet"/>
        <w:spacing w:after="40"/>
        <w:ind w:left="340" w:hanging="142"/>
      </w:pPr>
      <w:r>
        <w:t>Document any target changes required to demonstrate the path.</w:t>
      </w:r>
    </w:p>
    <w:p>
      <w:pPr>
        <w:pStyle w:val="ListBullet"/>
        <w:spacing w:after="40"/>
        <w:ind w:left="340" w:hanging="142"/>
      </w:pPr>
      <w:r>
        <w:t>Provide remediation that addresses the root cause rather than only the symptom.</w:t>
      </w:r>
    </w:p>
    <w:p>
      <w:pPr>
        <w:pStyle w:val="Heading2"/>
      </w:pPr>
      <w:r>
        <w:t>Study Check</w:t>
      </w:r>
    </w:p>
    <w:p>
      <w:pPr>
        <w:pStyle w:val="ListNumber"/>
        <w:spacing w:after="60"/>
      </w:pPr>
      <w:r>
        <w:t>What makes a privilege-escalation path defensible?</w:t>
      </w:r>
    </w:p>
    <w:p>
      <w:pPr>
        <w:pStyle w:val="ListNumber"/>
        <w:spacing w:after="60"/>
      </w:pPr>
      <w:r>
        <w:t>Why should remediation address the privilege-boundary weakness rather than merely remove one artefact?</w:t>
      </w:r>
    </w:p>
    <w:p>
      <w:pPr>
        <w:pStyle w:val="Heading1"/>
      </w:pPr>
      <w:r>
        <w:t>Module 8 - Evidence Handling and the Operator Activity Log</w:t>
      </w:r>
    </w:p>
    <w:p>
      <w:r>
        <w:t>Evidence quality determines whether another reviewer can trust the assessment. A good operator log captures what happened in chronological order and explains the purpose of material actions.</w:t>
      </w:r>
    </w:p>
    <w:p>
      <w:pPr>
        <w:pStyle w:val="Heading2"/>
      </w:pPr>
      <w:r>
        <w:t>8.1 Operator Log Structure</w:t>
      </w:r>
    </w:p>
    <w:tbl>
      <w:tblPr>
        <w:tblStyle w:val="TableGrid"/>
        <w:tblW w:type="auto" w:w="0"/>
        <w:jc w:val="center"/>
        <w:tblLook w:firstColumn="1" w:firstRow="1" w:lastColumn="0" w:lastRow="0" w:noHBand="0" w:noVBand="1" w:val="04A0"/>
      </w:tblPr>
      <w:tblGrid>
        <w:gridCol w:w="1644"/>
        <w:gridCol w:w="1644"/>
        <w:gridCol w:w="1644"/>
        <w:gridCol w:w="1644"/>
        <w:gridCol w:w="1644"/>
        <w:gridCol w:w="1644"/>
      </w:tblGrid>
      <w:tr>
        <w:trPr>
          <w:cantSplit/>
        </w:trPr>
        <w:tc>
          <w:tcPr>
            <w:tcW w:type="dxa" w:w="1587"/>
            <w:shd w:fill="0D3265"/>
            <w:tcMar>
              <w:top w:w="90" w:type="dxa"/>
              <w:start w:w="100" w:type="dxa"/>
              <w:bottom w:w="90" w:type="dxa"/>
              <w:end w:w="100" w:type="dxa"/>
            </w:tcMar>
          </w:tcPr>
          <w:p>
            <w:r>
              <w:rPr>
                <w:b/>
                <w:color w:val="FFFFFF"/>
                <w:sz w:val="18"/>
              </w:rPr>
              <w:t>Date/Time</w:t>
            </w:r>
          </w:p>
        </w:tc>
        <w:tc>
          <w:tcPr>
            <w:tcW w:type="dxa" w:w="1247"/>
            <w:shd w:fill="0D3265"/>
            <w:tcMar>
              <w:top w:w="90" w:type="dxa"/>
              <w:start w:w="100" w:type="dxa"/>
              <w:bottom w:w="90" w:type="dxa"/>
              <w:end w:w="100" w:type="dxa"/>
            </w:tcMar>
          </w:tcPr>
          <w:p>
            <w:r>
              <w:rPr>
                <w:b/>
                <w:color w:val="FFFFFF"/>
                <w:sz w:val="18"/>
              </w:rPr>
              <w:t>Phase</w:t>
            </w:r>
          </w:p>
        </w:tc>
        <w:tc>
          <w:tcPr>
            <w:tcW w:type="dxa" w:w="2041"/>
            <w:shd w:fill="0D3265"/>
            <w:tcMar>
              <w:top w:w="90" w:type="dxa"/>
              <w:start w:w="100" w:type="dxa"/>
              <w:bottom w:w="90" w:type="dxa"/>
              <w:end w:w="100" w:type="dxa"/>
            </w:tcMar>
          </w:tcPr>
          <w:p>
            <w:r>
              <w:rPr>
                <w:b/>
                <w:color w:val="FFFFFF"/>
                <w:sz w:val="18"/>
              </w:rPr>
              <w:t>Action</w:t>
            </w:r>
          </w:p>
        </w:tc>
        <w:tc>
          <w:tcPr>
            <w:tcW w:type="dxa" w:w="2154"/>
            <w:shd w:fill="0D3265"/>
            <w:tcMar>
              <w:top w:w="90" w:type="dxa"/>
              <w:start w:w="100" w:type="dxa"/>
              <w:bottom w:w="90" w:type="dxa"/>
              <w:end w:w="100" w:type="dxa"/>
            </w:tcMar>
          </w:tcPr>
          <w:p>
            <w:r>
              <w:rPr>
                <w:b/>
                <w:color w:val="FFFFFF"/>
                <w:sz w:val="18"/>
              </w:rPr>
              <w:t>Purpose</w:t>
            </w:r>
          </w:p>
        </w:tc>
        <w:tc>
          <w:tcPr>
            <w:tcW w:type="dxa" w:w="2154"/>
            <w:shd w:fill="0D3265"/>
            <w:tcMar>
              <w:top w:w="90" w:type="dxa"/>
              <w:start w:w="100" w:type="dxa"/>
              <w:bottom w:w="90" w:type="dxa"/>
              <w:end w:w="100" w:type="dxa"/>
            </w:tcMar>
          </w:tcPr>
          <w:p>
            <w:r>
              <w:rPr>
                <w:b/>
                <w:color w:val="FFFFFF"/>
                <w:sz w:val="18"/>
              </w:rPr>
              <w:t>Observation/Result</w:t>
            </w:r>
          </w:p>
        </w:tc>
        <w:tc>
          <w:tcPr>
            <w:tcW w:type="dxa" w:w="1020"/>
            <w:shd w:fill="0D3265"/>
            <w:tcMar>
              <w:top w:w="90" w:type="dxa"/>
              <w:start w:w="100" w:type="dxa"/>
              <w:bottom w:w="90" w:type="dxa"/>
              <w:end w:w="100" w:type="dxa"/>
            </w:tcMar>
          </w:tcPr>
          <w:p>
            <w:r>
              <w:rPr>
                <w:b/>
                <w:color w:val="FFFFFF"/>
                <w:sz w:val="18"/>
              </w:rPr>
              <w:t>Evidence Ref.</w:t>
            </w:r>
          </w:p>
        </w:tc>
      </w:tr>
      <w:tr>
        <w:trPr>
          <w:cantSplit/>
        </w:trPr>
        <w:tc>
          <w:tcPr>
            <w:tcW w:type="dxa" w:w="1587"/>
            <w:tcMar>
              <w:top w:w="90" w:type="dxa"/>
              <w:start w:w="100" w:type="dxa"/>
              <w:bottom w:w="90" w:type="dxa"/>
              <w:end w:w="100" w:type="dxa"/>
            </w:tcMar>
            <w:vAlign w:val="top"/>
          </w:tcPr>
          <w:p>
            <w:pPr>
              <w:spacing w:after="0"/>
            </w:pPr>
            <w:r>
              <w:rPr>
                <w:sz w:val="18"/>
              </w:rPr>
              <w:t>YYYY-MM-DD HH:MM WAT</w:t>
            </w:r>
          </w:p>
        </w:tc>
        <w:tc>
          <w:tcPr>
            <w:tcW w:type="dxa" w:w="1247"/>
            <w:tcMar>
              <w:top w:w="90" w:type="dxa"/>
              <w:start w:w="100" w:type="dxa"/>
              <w:bottom w:w="90" w:type="dxa"/>
              <w:end w:w="100" w:type="dxa"/>
            </w:tcMar>
            <w:vAlign w:val="top"/>
          </w:tcPr>
          <w:p>
            <w:pPr>
              <w:spacing w:after="0"/>
            </w:pPr>
            <w:r>
              <w:rPr>
                <w:sz w:val="18"/>
              </w:rPr>
              <w:t>Recon</w:t>
            </w:r>
          </w:p>
        </w:tc>
        <w:tc>
          <w:tcPr>
            <w:tcW w:type="dxa" w:w="2041"/>
            <w:tcMar>
              <w:top w:w="90" w:type="dxa"/>
              <w:start w:w="100" w:type="dxa"/>
              <w:bottom w:w="90" w:type="dxa"/>
              <w:end w:w="100" w:type="dxa"/>
            </w:tcMar>
            <w:vAlign w:val="top"/>
          </w:tcPr>
          <w:p>
            <w:pPr>
              <w:spacing w:after="0"/>
            </w:pPr>
            <w:r>
              <w:rPr>
                <w:sz w:val="18"/>
              </w:rPr>
              <w:t>Material action performed</w:t>
            </w:r>
          </w:p>
        </w:tc>
        <w:tc>
          <w:tcPr>
            <w:tcW w:type="dxa" w:w="2154"/>
            <w:tcMar>
              <w:top w:w="90" w:type="dxa"/>
              <w:start w:w="100" w:type="dxa"/>
              <w:bottom w:w="90" w:type="dxa"/>
              <w:end w:w="100" w:type="dxa"/>
            </w:tcMar>
            <w:vAlign w:val="top"/>
          </w:tcPr>
          <w:p>
            <w:pPr>
              <w:spacing w:after="0"/>
            </w:pPr>
            <w:r>
              <w:rPr>
                <w:sz w:val="18"/>
              </w:rPr>
              <w:t>Reason for the action</w:t>
            </w:r>
          </w:p>
        </w:tc>
        <w:tc>
          <w:tcPr>
            <w:tcW w:type="dxa" w:w="2154"/>
            <w:tcMar>
              <w:top w:w="90" w:type="dxa"/>
              <w:start w:w="100" w:type="dxa"/>
              <w:bottom w:w="90" w:type="dxa"/>
              <w:end w:w="100" w:type="dxa"/>
            </w:tcMar>
            <w:vAlign w:val="top"/>
          </w:tcPr>
          <w:p>
            <w:pPr>
              <w:spacing w:after="0"/>
            </w:pPr>
            <w:r>
              <w:rPr>
                <w:sz w:val="18"/>
              </w:rPr>
              <w:t>Relevant result or decision</w:t>
            </w:r>
          </w:p>
        </w:tc>
        <w:tc>
          <w:tcPr>
            <w:tcW w:type="dxa" w:w="1020"/>
            <w:tcMar>
              <w:top w:w="90" w:type="dxa"/>
              <w:start w:w="100" w:type="dxa"/>
              <w:bottom w:w="90" w:type="dxa"/>
              <w:end w:w="100" w:type="dxa"/>
            </w:tcMar>
            <w:vAlign w:val="top"/>
          </w:tcPr>
          <w:p>
            <w:pPr>
              <w:spacing w:after="0"/>
            </w:pPr>
            <w:r>
              <w:rPr>
                <w:sz w:val="18"/>
              </w:rPr>
              <w:t>E-001</w:t>
            </w:r>
          </w:p>
        </w:tc>
      </w:tr>
    </w:tbl>
    <w:p>
      <w:pPr>
        <w:spacing w:after="0"/>
      </w:pPr>
    </w:p>
    <w:p>
      <w:pPr>
        <w:pStyle w:val="Heading2"/>
      </w:pPr>
      <w:r>
        <w:t>8.2 Evidence Quality Principles</w:t>
      </w:r>
    </w:p>
    <w:p>
      <w:pPr>
        <w:pStyle w:val="ListBullet"/>
        <w:spacing w:after="40"/>
        <w:ind w:left="340" w:hanging="142"/>
      </w:pPr>
      <w:r>
        <w:t>Record timestamps and identify which system produced the evidence.</w:t>
      </w:r>
    </w:p>
    <w:p>
      <w:pPr>
        <w:pStyle w:val="ListBullet"/>
        <w:spacing w:after="40"/>
        <w:ind w:left="340" w:hanging="142"/>
      </w:pPr>
      <w:r>
        <w:t>Preserve relevant terminal or application output rather than screenshots alone.</w:t>
      </w:r>
    </w:p>
    <w:p>
      <w:pPr>
        <w:pStyle w:val="ListBullet"/>
        <w:spacing w:after="40"/>
        <w:ind w:left="340" w:hanging="142"/>
      </w:pPr>
      <w:r>
        <w:t>Do not crop screenshots so aggressively that important context disappears.</w:t>
      </w:r>
    </w:p>
    <w:p>
      <w:pPr>
        <w:pStyle w:val="ListBullet"/>
        <w:spacing w:after="40"/>
        <w:ind w:left="340" w:hanging="142"/>
      </w:pPr>
      <w:r>
        <w:t>Use consistent evidence identifiers throughout the report.</w:t>
      </w:r>
    </w:p>
    <w:p>
      <w:pPr>
        <w:pStyle w:val="ListBullet"/>
        <w:spacing w:after="40"/>
        <w:ind w:left="340" w:hanging="142"/>
      </w:pPr>
      <w:r>
        <w:t>Record failed approaches and why they were abandoned.</w:t>
      </w:r>
    </w:p>
    <w:p>
      <w:pPr>
        <w:pStyle w:val="ListBullet"/>
        <w:spacing w:after="40"/>
        <w:ind w:left="340" w:hanging="142"/>
      </w:pPr>
      <w:r>
        <w:t>Hash important evidence files when practical and record the hashing method.</w:t>
      </w:r>
    </w:p>
    <w:p>
      <w:pPr>
        <w:pStyle w:val="ListBullet"/>
        <w:spacing w:after="40"/>
        <w:ind w:left="340" w:hanging="142"/>
      </w:pPr>
      <w:r>
        <w:t>Redact sensitive strings where appropriate in the final report while preserving enough proof for instructor verification.</w:t>
      </w:r>
    </w:p>
    <w:tbl>
      <w:tblPr>
        <w:tblW w:type="auto" w:w="0"/>
        <w:jc w:val="center"/>
        <w:tblLook w:firstColumn="1" w:firstRow="1" w:lastColumn="0" w:lastRow="0" w:noHBand="0" w:noVBand="1" w:val="04A0"/>
      </w:tblPr>
      <w:tblGrid>
        <w:gridCol w:w="9866"/>
      </w:tblGrid>
      <w:tr>
        <w:trPr>
          <w:cantSplit/>
        </w:trPr>
        <w:tc>
          <w:tcPr>
            <w:tcW w:type="dxa" w:w="9866"/>
            <w:shd w:fill="EAF4FB"/>
            <w:tcMar>
              <w:top w:w="120" w:type="dxa"/>
              <w:start w:w="150" w:type="dxa"/>
              <w:bottom w:w="120" w:type="dxa"/>
              <w:end w:w="150" w:type="dxa"/>
            </w:tcMar>
          </w:tcPr>
          <w:p>
            <w:pPr>
              <w:spacing w:after="40"/>
            </w:pPr>
            <w:r>
              <w:rPr>
                <w:b/>
                <w:color w:val="0D3265"/>
                <w:sz w:val="21"/>
              </w:rPr>
              <w:t>EVIDENCE TEST</w:t>
            </w:r>
          </w:p>
          <w:p>
            <w:pPr>
              <w:spacing w:after="0"/>
            </w:pPr>
            <w:r>
              <w:rPr>
                <w:sz w:val="20"/>
              </w:rPr>
              <w:t>Ask: Could another qualified reviewer understand what happened, why it mattered, and how the conclusion was reached using only my report, log and referenced evidence?</w:t>
            </w:r>
          </w:p>
        </w:tc>
      </w:tr>
    </w:tbl>
    <w:p>
      <w:pPr>
        <w:spacing w:after="0"/>
      </w:pPr>
    </w:p>
    <w:p>
      <w:pPr>
        <w:pStyle w:val="Heading2"/>
      </w:pPr>
      <w:r>
        <w:t>Study Check</w:t>
      </w:r>
    </w:p>
    <w:p>
      <w:pPr>
        <w:pStyle w:val="ListNumber"/>
        <w:spacing w:after="60"/>
      </w:pPr>
      <w:r>
        <w:t>Why is a screenshot without context weaker than a screenshot linked to an operator log and evidence reference?</w:t>
      </w:r>
    </w:p>
    <w:p>
      <w:pPr>
        <w:pStyle w:val="ListNumber"/>
        <w:spacing w:after="60"/>
      </w:pPr>
      <w:r>
        <w:t>What is the purpose of hashing important evidence files?</w:t>
      </w:r>
    </w:p>
    <w:p>
      <w:pPr>
        <w:pStyle w:val="Heading1"/>
      </w:pPr>
      <w:r>
        <w:t>Module 9 - Findings, Risk and Remediation</w:t>
      </w:r>
    </w:p>
    <w:p>
      <w:r>
        <w:t>A finding is more than a technical weakness. It is a documented statement that explains what is wrong, where it exists, how it was validated, why it matters, and what should be done to correct it.</w:t>
      </w:r>
    </w:p>
    <w:p>
      <w:pPr>
        <w:pStyle w:val="Heading2"/>
      </w:pPr>
      <w:r>
        <w:t>9.1 Finding Record</w:t>
      </w:r>
    </w:p>
    <w:tbl>
      <w:tblPr>
        <w:tblStyle w:val="TableGrid"/>
        <w:tblW w:type="auto" w:w="0"/>
        <w:jc w:val="center"/>
        <w:tblLook w:firstColumn="1" w:firstRow="1" w:lastColumn="0" w:lastRow="0" w:noHBand="0" w:noVBand="1" w:val="04A0"/>
      </w:tblPr>
      <w:tblGrid>
        <w:gridCol w:w="4933"/>
        <w:gridCol w:w="4933"/>
      </w:tblGrid>
      <w:tr>
        <w:trPr>
          <w:cantSplit/>
        </w:trPr>
        <w:tc>
          <w:tcPr>
            <w:tcW w:type="dxa" w:w="2835"/>
            <w:shd w:fill="0D3265"/>
            <w:tcMar>
              <w:top w:w="90" w:type="dxa"/>
              <w:start w:w="100" w:type="dxa"/>
              <w:bottom w:w="90" w:type="dxa"/>
              <w:end w:w="100" w:type="dxa"/>
            </w:tcMar>
          </w:tcPr>
          <w:p>
            <w:r>
              <w:rPr>
                <w:b/>
                <w:color w:val="FFFFFF"/>
                <w:sz w:val="18"/>
              </w:rPr>
              <w:t>Field</w:t>
            </w:r>
          </w:p>
        </w:tc>
        <w:tc>
          <w:tcPr>
            <w:tcW w:type="dxa" w:w="7030"/>
            <w:shd w:fill="0D3265"/>
            <w:tcMar>
              <w:top w:w="90" w:type="dxa"/>
              <w:start w:w="100" w:type="dxa"/>
              <w:bottom w:w="90" w:type="dxa"/>
              <w:end w:w="100" w:type="dxa"/>
            </w:tcMar>
          </w:tcPr>
          <w:p>
            <w:r>
              <w:rPr>
                <w:b/>
                <w:color w:val="FFFFFF"/>
                <w:sz w:val="18"/>
              </w:rPr>
              <w:t>What It Should Contain</w:t>
            </w:r>
          </w:p>
        </w:tc>
      </w:tr>
      <w:tr>
        <w:trPr>
          <w:cantSplit/>
        </w:trPr>
        <w:tc>
          <w:tcPr>
            <w:tcW w:type="dxa" w:w="2835"/>
            <w:tcMar>
              <w:top w:w="90" w:type="dxa"/>
              <w:start w:w="100" w:type="dxa"/>
              <w:bottom w:w="90" w:type="dxa"/>
              <w:end w:w="100" w:type="dxa"/>
            </w:tcMar>
            <w:vAlign w:val="top"/>
          </w:tcPr>
          <w:p>
            <w:pPr>
              <w:spacing w:after="0"/>
            </w:pPr>
            <w:r>
              <w:rPr>
                <w:sz w:val="18"/>
              </w:rPr>
              <w:t>Finding ID</w:t>
            </w:r>
          </w:p>
        </w:tc>
        <w:tc>
          <w:tcPr>
            <w:tcW w:type="dxa" w:w="7030"/>
            <w:tcMar>
              <w:top w:w="90" w:type="dxa"/>
              <w:start w:w="100" w:type="dxa"/>
              <w:bottom w:w="90" w:type="dxa"/>
              <w:end w:w="100" w:type="dxa"/>
            </w:tcMar>
            <w:vAlign w:val="top"/>
          </w:tcPr>
          <w:p>
            <w:pPr>
              <w:spacing w:after="0"/>
            </w:pPr>
            <w:r>
              <w:rPr>
                <w:sz w:val="18"/>
              </w:rPr>
              <w:t>A unique identifier used consistently in the report and evidence appendix.</w:t>
            </w:r>
          </w:p>
        </w:tc>
      </w:tr>
      <w:tr>
        <w:trPr>
          <w:cantSplit/>
        </w:trPr>
        <w:tc>
          <w:tcPr>
            <w:tcW w:type="dxa" w:w="2835"/>
            <w:shd w:fill="F7FAFC"/>
            <w:tcMar>
              <w:top w:w="90" w:type="dxa"/>
              <w:start w:w="100" w:type="dxa"/>
              <w:bottom w:w="90" w:type="dxa"/>
              <w:end w:w="100" w:type="dxa"/>
            </w:tcMar>
            <w:vAlign w:val="top"/>
          </w:tcPr>
          <w:p>
            <w:pPr>
              <w:spacing w:after="0"/>
            </w:pPr>
            <w:r>
              <w:rPr>
                <w:sz w:val="18"/>
              </w:rPr>
              <w:t>Finding Title</w:t>
            </w:r>
          </w:p>
        </w:tc>
        <w:tc>
          <w:tcPr>
            <w:tcW w:type="dxa" w:w="7030"/>
            <w:shd w:fill="F7FAFC"/>
            <w:tcMar>
              <w:top w:w="90" w:type="dxa"/>
              <w:start w:w="100" w:type="dxa"/>
              <w:bottom w:w="90" w:type="dxa"/>
              <w:end w:w="100" w:type="dxa"/>
            </w:tcMar>
            <w:vAlign w:val="top"/>
          </w:tcPr>
          <w:p>
            <w:pPr>
              <w:spacing w:after="0"/>
            </w:pPr>
            <w:r>
              <w:rPr>
                <w:sz w:val="18"/>
              </w:rPr>
              <w:t>A concise description of the weakness.</w:t>
            </w:r>
          </w:p>
        </w:tc>
      </w:tr>
      <w:tr>
        <w:trPr>
          <w:cantSplit/>
        </w:trPr>
        <w:tc>
          <w:tcPr>
            <w:tcW w:type="dxa" w:w="2835"/>
            <w:tcMar>
              <w:top w:w="90" w:type="dxa"/>
              <w:start w:w="100" w:type="dxa"/>
              <w:bottom w:w="90" w:type="dxa"/>
              <w:end w:w="100" w:type="dxa"/>
            </w:tcMar>
            <w:vAlign w:val="top"/>
          </w:tcPr>
          <w:p>
            <w:pPr>
              <w:spacing w:after="0"/>
            </w:pPr>
            <w:r>
              <w:rPr>
                <w:sz w:val="18"/>
              </w:rPr>
              <w:t>Affected Asset/Service</w:t>
            </w:r>
          </w:p>
        </w:tc>
        <w:tc>
          <w:tcPr>
            <w:tcW w:type="dxa" w:w="7030"/>
            <w:tcMar>
              <w:top w:w="90" w:type="dxa"/>
              <w:start w:w="100" w:type="dxa"/>
              <w:bottom w:w="90" w:type="dxa"/>
              <w:end w:w="100" w:type="dxa"/>
            </w:tcMar>
            <w:vAlign w:val="top"/>
          </w:tcPr>
          <w:p>
            <w:pPr>
              <w:spacing w:after="0"/>
            </w:pPr>
            <w:r>
              <w:rPr>
                <w:sz w:val="18"/>
              </w:rPr>
              <w:t>The system component where the weakness exists.</w:t>
            </w:r>
          </w:p>
        </w:tc>
      </w:tr>
      <w:tr>
        <w:trPr>
          <w:cantSplit/>
        </w:trPr>
        <w:tc>
          <w:tcPr>
            <w:tcW w:type="dxa" w:w="2835"/>
            <w:shd w:fill="F7FAFC"/>
            <w:tcMar>
              <w:top w:w="90" w:type="dxa"/>
              <w:start w:w="100" w:type="dxa"/>
              <w:bottom w:w="90" w:type="dxa"/>
              <w:end w:w="100" w:type="dxa"/>
            </w:tcMar>
            <w:vAlign w:val="top"/>
          </w:tcPr>
          <w:p>
            <w:pPr>
              <w:spacing w:after="0"/>
            </w:pPr>
            <w:r>
              <w:rPr>
                <w:sz w:val="18"/>
              </w:rPr>
              <w:t>Severity</w:t>
            </w:r>
          </w:p>
        </w:tc>
        <w:tc>
          <w:tcPr>
            <w:tcW w:type="dxa" w:w="7030"/>
            <w:shd w:fill="F7FAFC"/>
            <w:tcMar>
              <w:top w:w="90" w:type="dxa"/>
              <w:start w:w="100" w:type="dxa"/>
              <w:bottom w:w="90" w:type="dxa"/>
              <w:end w:w="100" w:type="dxa"/>
            </w:tcMar>
            <w:vAlign w:val="top"/>
          </w:tcPr>
          <w:p>
            <w:pPr>
              <w:spacing w:after="0"/>
            </w:pPr>
            <w:r>
              <w:rPr>
                <w:sz w:val="18"/>
              </w:rPr>
              <w:t>A justified risk level based on likelihood and impact.</w:t>
            </w:r>
          </w:p>
        </w:tc>
      </w:tr>
      <w:tr>
        <w:trPr>
          <w:cantSplit/>
        </w:trPr>
        <w:tc>
          <w:tcPr>
            <w:tcW w:type="dxa" w:w="2835"/>
            <w:tcMar>
              <w:top w:w="90" w:type="dxa"/>
              <w:start w:w="100" w:type="dxa"/>
              <w:bottom w:w="90" w:type="dxa"/>
              <w:end w:w="100" w:type="dxa"/>
            </w:tcMar>
            <w:vAlign w:val="top"/>
          </w:tcPr>
          <w:p>
            <w:pPr>
              <w:spacing w:after="0"/>
            </w:pPr>
            <w:r>
              <w:rPr>
                <w:sz w:val="18"/>
              </w:rPr>
              <w:t>Evidence</w:t>
            </w:r>
          </w:p>
        </w:tc>
        <w:tc>
          <w:tcPr>
            <w:tcW w:type="dxa" w:w="7030"/>
            <w:tcMar>
              <w:top w:w="90" w:type="dxa"/>
              <w:start w:w="100" w:type="dxa"/>
              <w:bottom w:w="90" w:type="dxa"/>
              <w:end w:w="100" w:type="dxa"/>
            </w:tcMar>
            <w:vAlign w:val="top"/>
          </w:tcPr>
          <w:p>
            <w:pPr>
              <w:spacing w:after="0"/>
            </w:pPr>
            <w:r>
              <w:rPr>
                <w:sz w:val="18"/>
              </w:rPr>
              <w:t>Traceable screenshots, output excerpts, timestamps and evidence references.</w:t>
            </w:r>
          </w:p>
        </w:tc>
      </w:tr>
      <w:tr>
        <w:trPr>
          <w:cantSplit/>
        </w:trPr>
        <w:tc>
          <w:tcPr>
            <w:tcW w:type="dxa" w:w="2835"/>
            <w:shd w:fill="F7FAFC"/>
            <w:tcMar>
              <w:top w:w="90" w:type="dxa"/>
              <w:start w:w="100" w:type="dxa"/>
              <w:bottom w:w="90" w:type="dxa"/>
              <w:end w:w="100" w:type="dxa"/>
            </w:tcMar>
            <w:vAlign w:val="top"/>
          </w:tcPr>
          <w:p>
            <w:pPr>
              <w:spacing w:after="0"/>
            </w:pPr>
            <w:r>
              <w:rPr>
                <w:sz w:val="18"/>
              </w:rPr>
              <w:t>Technical Description</w:t>
            </w:r>
          </w:p>
        </w:tc>
        <w:tc>
          <w:tcPr>
            <w:tcW w:type="dxa" w:w="7030"/>
            <w:shd w:fill="F7FAFC"/>
            <w:tcMar>
              <w:top w:w="90" w:type="dxa"/>
              <w:start w:w="100" w:type="dxa"/>
              <w:bottom w:w="90" w:type="dxa"/>
              <w:end w:w="100" w:type="dxa"/>
            </w:tcMar>
            <w:vAlign w:val="top"/>
          </w:tcPr>
          <w:p>
            <w:pPr>
              <w:spacing w:after="0"/>
            </w:pPr>
            <w:r>
              <w:rPr>
                <w:sz w:val="18"/>
              </w:rPr>
              <w:t>How the weakness works and the conditions required.</w:t>
            </w:r>
          </w:p>
        </w:tc>
      </w:tr>
      <w:tr>
        <w:trPr>
          <w:cantSplit/>
        </w:trPr>
        <w:tc>
          <w:tcPr>
            <w:tcW w:type="dxa" w:w="2835"/>
            <w:tcMar>
              <w:top w:w="90" w:type="dxa"/>
              <w:start w:w="100" w:type="dxa"/>
              <w:bottom w:w="90" w:type="dxa"/>
              <w:end w:w="100" w:type="dxa"/>
            </w:tcMar>
            <w:vAlign w:val="top"/>
          </w:tcPr>
          <w:p>
            <w:pPr>
              <w:spacing w:after="0"/>
            </w:pPr>
            <w:r>
              <w:rPr>
                <w:sz w:val="18"/>
              </w:rPr>
              <w:t>Attack Narrative</w:t>
            </w:r>
          </w:p>
        </w:tc>
        <w:tc>
          <w:tcPr>
            <w:tcW w:type="dxa" w:w="7030"/>
            <w:tcMar>
              <w:top w:w="90" w:type="dxa"/>
              <w:start w:w="100" w:type="dxa"/>
              <w:bottom w:w="90" w:type="dxa"/>
              <w:end w:w="100" w:type="dxa"/>
            </w:tcMar>
            <w:vAlign w:val="top"/>
          </w:tcPr>
          <w:p>
            <w:pPr>
              <w:spacing w:after="0"/>
            </w:pPr>
            <w:r>
              <w:rPr>
                <w:sz w:val="18"/>
              </w:rPr>
              <w:t>How the weakness was discovered and validated.</w:t>
            </w:r>
          </w:p>
        </w:tc>
      </w:tr>
      <w:tr>
        <w:trPr>
          <w:cantSplit/>
        </w:trPr>
        <w:tc>
          <w:tcPr>
            <w:tcW w:type="dxa" w:w="2835"/>
            <w:shd w:fill="F7FAFC"/>
            <w:tcMar>
              <w:top w:w="90" w:type="dxa"/>
              <w:start w:w="100" w:type="dxa"/>
              <w:bottom w:w="90" w:type="dxa"/>
              <w:end w:w="100" w:type="dxa"/>
            </w:tcMar>
            <w:vAlign w:val="top"/>
          </w:tcPr>
          <w:p>
            <w:pPr>
              <w:spacing w:after="0"/>
            </w:pPr>
            <w:r>
              <w:rPr>
                <w:sz w:val="18"/>
              </w:rPr>
              <w:t>Security Impact</w:t>
            </w:r>
          </w:p>
        </w:tc>
        <w:tc>
          <w:tcPr>
            <w:tcW w:type="dxa" w:w="7030"/>
            <w:shd w:fill="F7FAFC"/>
            <w:tcMar>
              <w:top w:w="90" w:type="dxa"/>
              <w:start w:w="100" w:type="dxa"/>
              <w:bottom w:w="90" w:type="dxa"/>
              <w:end w:w="100" w:type="dxa"/>
            </w:tcMar>
            <w:vAlign w:val="top"/>
          </w:tcPr>
          <w:p>
            <w:pPr>
              <w:spacing w:after="0"/>
            </w:pPr>
            <w:r>
              <w:rPr>
                <w:sz w:val="18"/>
              </w:rPr>
              <w:t>What an attacker could achieve.</w:t>
            </w:r>
          </w:p>
        </w:tc>
      </w:tr>
      <w:tr>
        <w:trPr>
          <w:cantSplit/>
        </w:trPr>
        <w:tc>
          <w:tcPr>
            <w:tcW w:type="dxa" w:w="2835"/>
            <w:tcMar>
              <w:top w:w="90" w:type="dxa"/>
              <w:start w:w="100" w:type="dxa"/>
              <w:bottom w:w="90" w:type="dxa"/>
              <w:end w:w="100" w:type="dxa"/>
            </w:tcMar>
            <w:vAlign w:val="top"/>
          </w:tcPr>
          <w:p>
            <w:pPr>
              <w:spacing w:after="0"/>
            </w:pPr>
            <w:r>
              <w:rPr>
                <w:sz w:val="18"/>
              </w:rPr>
              <w:t>Remediation</w:t>
            </w:r>
          </w:p>
        </w:tc>
        <w:tc>
          <w:tcPr>
            <w:tcW w:type="dxa" w:w="7030"/>
            <w:tcMar>
              <w:top w:w="90" w:type="dxa"/>
              <w:start w:w="100" w:type="dxa"/>
              <w:bottom w:w="90" w:type="dxa"/>
              <w:end w:w="100" w:type="dxa"/>
            </w:tcMar>
            <w:vAlign w:val="top"/>
          </w:tcPr>
          <w:p>
            <w:pPr>
              <w:spacing w:after="0"/>
            </w:pPr>
            <w:r>
              <w:rPr>
                <w:sz w:val="18"/>
              </w:rPr>
              <w:t>Specific corrective actions.</w:t>
            </w:r>
          </w:p>
        </w:tc>
      </w:tr>
      <w:tr>
        <w:trPr>
          <w:cantSplit/>
        </w:trPr>
        <w:tc>
          <w:tcPr>
            <w:tcW w:type="dxa" w:w="2835"/>
            <w:shd w:fill="F7FAFC"/>
            <w:tcMar>
              <w:top w:w="90" w:type="dxa"/>
              <w:start w:w="100" w:type="dxa"/>
              <w:bottom w:w="90" w:type="dxa"/>
              <w:end w:w="100" w:type="dxa"/>
            </w:tcMar>
            <w:vAlign w:val="top"/>
          </w:tcPr>
          <w:p>
            <w:pPr>
              <w:spacing w:after="0"/>
            </w:pPr>
            <w:r>
              <w:rPr>
                <w:sz w:val="18"/>
              </w:rPr>
              <w:t>Retest Guidance</w:t>
            </w:r>
          </w:p>
        </w:tc>
        <w:tc>
          <w:tcPr>
            <w:tcW w:type="dxa" w:w="7030"/>
            <w:shd w:fill="F7FAFC"/>
            <w:tcMar>
              <w:top w:w="90" w:type="dxa"/>
              <w:start w:w="100" w:type="dxa"/>
              <w:bottom w:w="90" w:type="dxa"/>
              <w:end w:w="100" w:type="dxa"/>
            </w:tcMar>
            <w:vAlign w:val="top"/>
          </w:tcPr>
          <w:p>
            <w:pPr>
              <w:spacing w:after="0"/>
            </w:pPr>
            <w:r>
              <w:rPr>
                <w:sz w:val="18"/>
              </w:rPr>
              <w:t>How to verify that the fix is effective.</w:t>
            </w:r>
          </w:p>
        </w:tc>
      </w:tr>
    </w:tbl>
    <w:p>
      <w:pPr>
        <w:spacing w:after="0"/>
      </w:pPr>
    </w:p>
    <w:p>
      <w:pPr>
        <w:pStyle w:val="Heading2"/>
      </w:pPr>
      <w:r>
        <w:t>9.2 Remediation Horizons</w:t>
      </w:r>
    </w:p>
    <w:tbl>
      <w:tblPr>
        <w:tblStyle w:val="TableGrid"/>
        <w:tblW w:type="auto" w:w="0"/>
        <w:jc w:val="center"/>
        <w:tblLook w:firstColumn="1" w:firstRow="1" w:lastColumn="0" w:lastRow="0" w:noHBand="0" w:noVBand="1" w:val="04A0"/>
      </w:tblPr>
      <w:tblGrid>
        <w:gridCol w:w="4933"/>
        <w:gridCol w:w="4933"/>
      </w:tblGrid>
      <w:tr>
        <w:trPr>
          <w:cantSplit/>
        </w:trPr>
        <w:tc>
          <w:tcPr>
            <w:tcW w:type="dxa" w:w="2268"/>
            <w:shd w:fill="0D3265"/>
            <w:tcMar>
              <w:top w:w="90" w:type="dxa"/>
              <w:start w:w="100" w:type="dxa"/>
              <w:bottom w:w="90" w:type="dxa"/>
              <w:end w:w="100" w:type="dxa"/>
            </w:tcMar>
          </w:tcPr>
          <w:p>
            <w:r>
              <w:rPr>
                <w:b/>
                <w:color w:val="FFFFFF"/>
                <w:sz w:val="18"/>
              </w:rPr>
              <w:t>Horizon</w:t>
            </w:r>
          </w:p>
        </w:tc>
        <w:tc>
          <w:tcPr>
            <w:tcW w:type="dxa" w:w="7597"/>
            <w:shd w:fill="0D3265"/>
            <w:tcMar>
              <w:top w:w="90" w:type="dxa"/>
              <w:start w:w="100" w:type="dxa"/>
              <w:bottom w:w="90" w:type="dxa"/>
              <w:end w:w="100" w:type="dxa"/>
            </w:tcMar>
          </w:tcPr>
          <w:p>
            <w:r>
              <w:rPr>
                <w:b/>
                <w:color w:val="FFFFFF"/>
                <w:sz w:val="18"/>
              </w:rPr>
              <w:t>Purpose</w:t>
            </w:r>
          </w:p>
        </w:tc>
      </w:tr>
      <w:tr>
        <w:trPr>
          <w:cantSplit/>
        </w:trPr>
        <w:tc>
          <w:tcPr>
            <w:tcW w:type="dxa" w:w="2268"/>
            <w:tcMar>
              <w:top w:w="90" w:type="dxa"/>
              <w:start w:w="100" w:type="dxa"/>
              <w:bottom w:w="90" w:type="dxa"/>
              <w:end w:w="100" w:type="dxa"/>
            </w:tcMar>
            <w:vAlign w:val="top"/>
          </w:tcPr>
          <w:p>
            <w:pPr>
              <w:spacing w:after="0"/>
            </w:pPr>
            <w:r>
              <w:rPr>
                <w:sz w:val="18"/>
              </w:rPr>
              <w:t>Immediate</w:t>
            </w:r>
          </w:p>
        </w:tc>
        <w:tc>
          <w:tcPr>
            <w:tcW w:type="dxa" w:w="7597"/>
            <w:tcMar>
              <w:top w:w="90" w:type="dxa"/>
              <w:start w:w="100" w:type="dxa"/>
              <w:bottom w:w="90" w:type="dxa"/>
              <w:end w:w="100" w:type="dxa"/>
            </w:tcMar>
            <w:vAlign w:val="top"/>
          </w:tcPr>
          <w:p>
            <w:pPr>
              <w:spacing w:after="0"/>
            </w:pPr>
            <w:r>
              <w:rPr>
                <w:sz w:val="18"/>
              </w:rPr>
              <w:t>Contain the highest-risk exposure or remove unsafe access.</w:t>
            </w:r>
          </w:p>
        </w:tc>
      </w:tr>
      <w:tr>
        <w:trPr>
          <w:cantSplit/>
        </w:trPr>
        <w:tc>
          <w:tcPr>
            <w:tcW w:type="dxa" w:w="2268"/>
            <w:shd w:fill="F7FAFC"/>
            <w:tcMar>
              <w:top w:w="90" w:type="dxa"/>
              <w:start w:w="100" w:type="dxa"/>
              <w:bottom w:w="90" w:type="dxa"/>
              <w:end w:w="100" w:type="dxa"/>
            </w:tcMar>
            <w:vAlign w:val="top"/>
          </w:tcPr>
          <w:p>
            <w:pPr>
              <w:spacing w:after="0"/>
            </w:pPr>
            <w:r>
              <w:rPr>
                <w:sz w:val="18"/>
              </w:rPr>
              <w:t>Short-term</w:t>
            </w:r>
          </w:p>
        </w:tc>
        <w:tc>
          <w:tcPr>
            <w:tcW w:type="dxa" w:w="7597"/>
            <w:shd w:fill="F7FAFC"/>
            <w:tcMar>
              <w:top w:w="90" w:type="dxa"/>
              <w:start w:w="100" w:type="dxa"/>
              <w:bottom w:w="90" w:type="dxa"/>
              <w:end w:w="100" w:type="dxa"/>
            </w:tcMar>
            <w:vAlign w:val="top"/>
          </w:tcPr>
          <w:p>
            <w:pPr>
              <w:spacing w:after="0"/>
            </w:pPr>
            <w:r>
              <w:rPr>
                <w:sz w:val="18"/>
              </w:rPr>
              <w:t>Correct configuration, permissions, credentials, service hardening or patching issues.</w:t>
            </w:r>
          </w:p>
        </w:tc>
      </w:tr>
      <w:tr>
        <w:trPr>
          <w:cantSplit/>
        </w:trPr>
        <w:tc>
          <w:tcPr>
            <w:tcW w:type="dxa" w:w="2268"/>
            <w:tcMar>
              <w:top w:w="90" w:type="dxa"/>
              <w:start w:w="100" w:type="dxa"/>
              <w:bottom w:w="90" w:type="dxa"/>
              <w:end w:w="100" w:type="dxa"/>
            </w:tcMar>
            <w:vAlign w:val="top"/>
          </w:tcPr>
          <w:p>
            <w:pPr>
              <w:spacing w:after="0"/>
            </w:pPr>
            <w:r>
              <w:rPr>
                <w:sz w:val="18"/>
              </w:rPr>
              <w:t>Strategic</w:t>
            </w:r>
          </w:p>
        </w:tc>
        <w:tc>
          <w:tcPr>
            <w:tcW w:type="dxa" w:w="7597"/>
            <w:tcMar>
              <w:top w:w="90" w:type="dxa"/>
              <w:start w:w="100" w:type="dxa"/>
              <w:bottom w:w="90" w:type="dxa"/>
              <w:end w:w="100" w:type="dxa"/>
            </w:tcMar>
            <w:vAlign w:val="top"/>
          </w:tcPr>
          <w:p>
            <w:pPr>
              <w:spacing w:after="0"/>
            </w:pPr>
            <w:r>
              <w:rPr>
                <w:sz w:val="18"/>
              </w:rPr>
              <w:t>Improve architecture, monitoring, secure configuration management, governance and recurring validation.</w:t>
            </w:r>
          </w:p>
        </w:tc>
      </w:tr>
    </w:tbl>
    <w:p>
      <w:pPr>
        <w:spacing w:after="0"/>
      </w:pPr>
    </w:p>
    <w:p>
      <w:pPr>
        <w:pStyle w:val="Heading2"/>
      </w:pPr>
      <w:r>
        <w:t>Study Check</w:t>
      </w:r>
    </w:p>
    <w:p>
      <w:pPr>
        <w:pStyle w:val="ListNumber"/>
        <w:spacing w:after="60"/>
      </w:pPr>
      <w:r>
        <w:t>Why should severity not be copied blindly from an automated tool?</w:t>
      </w:r>
    </w:p>
    <w:p>
      <w:pPr>
        <w:pStyle w:val="ListNumber"/>
        <w:spacing w:after="60"/>
      </w:pPr>
      <w:r>
        <w:t>What makes remediation specific and actionable?</w:t>
      </w:r>
    </w:p>
    <w:p>
      <w:pPr>
        <w:pStyle w:val="Heading1"/>
      </w:pPr>
      <w:r>
        <w:t>Module 10 - Professional Offensive-Security Reporting</w:t>
      </w:r>
    </w:p>
    <w:p>
      <w:r>
        <w:t>The report is the primary product delivered to the organisation. Strong technical work can lose value if the findings cannot be understood, reproduced or acted upon.</w:t>
      </w:r>
    </w:p>
    <w:p>
      <w:pPr>
        <w:pStyle w:val="Heading2"/>
      </w:pPr>
      <w:r>
        <w:t>10.1 Executive Reporting</w:t>
      </w:r>
    </w:p>
    <w:p>
      <w:r>
        <w:t>The executive summary should communicate overall risk, business impact, attack-chain significance and priority actions without requiring the reader to understand exploitation details.</w:t>
      </w:r>
    </w:p>
    <w:p>
      <w:pPr>
        <w:pStyle w:val="Heading2"/>
      </w:pPr>
      <w:r>
        <w:t>10.2 Technical Reporting</w:t>
      </w:r>
    </w:p>
    <w:p>
      <w:r>
        <w:t>The technical section should explain methodology, attack-surface analysis, confirmed findings, initial access, post-exploitation, privilege escalation, evidence references and remediation in enough detail for a qualified reviewer to follow the logic.</w:t>
      </w:r>
    </w:p>
    <w:p>
      <w:pPr>
        <w:pStyle w:val="Heading2"/>
      </w:pPr>
      <w:r>
        <w:t>10.3 Recommended Report Structure</w:t>
      </w:r>
    </w:p>
    <w:p>
      <w:pPr>
        <w:spacing w:after="40"/>
        <w:ind w:left="283" w:hanging="283"/>
      </w:pPr>
      <w:r>
        <w:t>1. Cover Page.</w:t>
      </w:r>
    </w:p>
    <w:p>
      <w:pPr>
        <w:spacing w:after="40"/>
        <w:ind w:left="283" w:hanging="283"/>
      </w:pPr>
      <w:r>
        <w:t>2. Executive Summary.</w:t>
      </w:r>
    </w:p>
    <w:p>
      <w:pPr>
        <w:spacing w:after="40"/>
        <w:ind w:left="283" w:hanging="283"/>
      </w:pPr>
      <w:r>
        <w:t>3. Scope and Rules of Engagement.</w:t>
      </w:r>
    </w:p>
    <w:p>
      <w:pPr>
        <w:spacing w:after="40"/>
        <w:ind w:left="283" w:hanging="283"/>
      </w:pPr>
      <w:r>
        <w:t>4. Laboratory Architecture and Methodology.</w:t>
      </w:r>
    </w:p>
    <w:p>
      <w:pPr>
        <w:spacing w:after="40"/>
        <w:ind w:left="283" w:hanging="283"/>
      </w:pPr>
      <w:r>
        <w:t>5. Attack-Surface Summary.</w:t>
      </w:r>
    </w:p>
    <w:p>
      <w:pPr>
        <w:spacing w:after="40"/>
        <w:ind w:left="283" w:hanging="283"/>
      </w:pPr>
      <w:r>
        <w:t>6. Confirmed Findings and Risk Ratings.</w:t>
      </w:r>
    </w:p>
    <w:p>
      <w:pPr>
        <w:spacing w:after="40"/>
        <w:ind w:left="283" w:hanging="283"/>
      </w:pPr>
      <w:r>
        <w:t>7. Initial-Access Narrative.</w:t>
      </w:r>
    </w:p>
    <w:p>
      <w:pPr>
        <w:spacing w:after="40"/>
        <w:ind w:left="283" w:hanging="283"/>
      </w:pPr>
      <w:r>
        <w:t>8. Post-Exploitation and Privilege-Escalation Narrative.</w:t>
      </w:r>
    </w:p>
    <w:p>
      <w:pPr>
        <w:spacing w:after="40"/>
        <w:ind w:left="283" w:hanging="283"/>
      </w:pPr>
      <w:r>
        <w:t>9. Mission Evidence / Proof of Objective Completion.</w:t>
      </w:r>
    </w:p>
    <w:p>
      <w:pPr>
        <w:spacing w:after="40"/>
        <w:ind w:left="283" w:hanging="283"/>
      </w:pPr>
      <w:r>
        <w:t>10. Remediation Roadmap.</w:t>
      </w:r>
    </w:p>
    <w:p>
      <w:pPr>
        <w:spacing w:after="40"/>
        <w:ind w:left="283" w:hanging="283"/>
      </w:pPr>
      <w:r>
        <w:t>11. Conclusion and Lessons Learned.</w:t>
      </w:r>
    </w:p>
    <w:p>
      <w:pPr>
        <w:spacing w:after="40"/>
        <w:ind w:left="283" w:hanging="283"/>
      </w:pPr>
      <w:r>
        <w:t>12. Appendices: operator log, supporting output, screenshots, hashes and evidence references.</w:t>
      </w:r>
    </w:p>
    <w:tbl>
      <w:tblPr>
        <w:tblW w:type="auto" w:w="0"/>
        <w:jc w:val="center"/>
        <w:tblLook w:firstColumn="1" w:firstRow="1" w:lastColumn="0" w:lastRow="0" w:noHBand="0" w:noVBand="1" w:val="04A0"/>
      </w:tblPr>
      <w:tblGrid>
        <w:gridCol w:w="9866"/>
      </w:tblGrid>
      <w:tr>
        <w:trPr>
          <w:cantSplit/>
        </w:trPr>
        <w:tc>
          <w:tcPr>
            <w:tcW w:type="dxa" w:w="9866"/>
            <w:shd w:fill="EAF4FB"/>
            <w:tcMar>
              <w:top w:w="120" w:type="dxa"/>
              <w:start w:w="150" w:type="dxa"/>
              <w:bottom w:w="120" w:type="dxa"/>
              <w:end w:w="150" w:type="dxa"/>
            </w:tcMar>
          </w:tcPr>
          <w:p>
            <w:pPr>
              <w:spacing w:after="40"/>
            </w:pPr>
            <w:r>
              <w:rPr>
                <w:b/>
                <w:color w:val="0D3265"/>
                <w:sz w:val="21"/>
              </w:rPr>
              <w:t>WRITING PRINCIPLE</w:t>
            </w:r>
          </w:p>
          <w:p>
            <w:pPr>
              <w:spacing w:after="0"/>
            </w:pPr>
            <w:r>
              <w:rPr>
                <w:sz w:val="20"/>
              </w:rPr>
              <w:t>Executives need risk and decisions. Technical reviewers need evidence and reproducibility. A professional report serves both audiences without confusing one with the other.</w:t>
            </w:r>
          </w:p>
        </w:tc>
      </w:tr>
    </w:tbl>
    <w:p>
      <w:pPr>
        <w:spacing w:after="0"/>
      </w:pPr>
    </w:p>
    <w:p>
      <w:pPr>
        <w:pStyle w:val="Heading2"/>
      </w:pPr>
      <w:r>
        <w:t>Study Check</w:t>
      </w:r>
    </w:p>
    <w:p>
      <w:pPr>
        <w:pStyle w:val="ListNumber"/>
        <w:spacing w:after="60"/>
      </w:pPr>
      <w:r>
        <w:t>What information belongs in an executive summary?</w:t>
      </w:r>
    </w:p>
    <w:p>
      <w:pPr>
        <w:pStyle w:val="ListNumber"/>
        <w:spacing w:after="60"/>
      </w:pPr>
      <w:r>
        <w:t>Why should the technical narrative show reasoning rather than only successful commands or screenshots?</w:t>
      </w:r>
    </w:p>
    <w:p>
      <w:pPr>
        <w:pStyle w:val="Heading1"/>
      </w:pPr>
      <w:r>
        <w:t>Module 11 - Common Offensive-Security Mistakes</w:t>
      </w:r>
    </w:p>
    <w:tbl>
      <w:tblPr>
        <w:tblStyle w:val="TableGrid"/>
        <w:tblW w:type="auto" w:w="0"/>
        <w:jc w:val="center"/>
        <w:tblLook w:firstColumn="1" w:firstRow="1" w:lastColumn="0" w:lastRow="0" w:noHBand="0" w:noVBand="1" w:val="04A0"/>
      </w:tblPr>
      <w:tblGrid>
        <w:gridCol w:w="4933"/>
        <w:gridCol w:w="4933"/>
      </w:tblGrid>
      <w:tr>
        <w:trPr>
          <w:cantSplit/>
        </w:trPr>
        <w:tc>
          <w:tcPr>
            <w:tcW w:type="dxa" w:w="2835"/>
            <w:shd w:fill="0D3265"/>
            <w:tcMar>
              <w:top w:w="90" w:type="dxa"/>
              <w:start w:w="100" w:type="dxa"/>
              <w:bottom w:w="90" w:type="dxa"/>
              <w:end w:w="100" w:type="dxa"/>
            </w:tcMar>
          </w:tcPr>
          <w:p>
            <w:r>
              <w:rPr>
                <w:b/>
                <w:color w:val="FFFFFF"/>
                <w:sz w:val="18"/>
              </w:rPr>
              <w:t>Mistake</w:t>
            </w:r>
          </w:p>
        </w:tc>
        <w:tc>
          <w:tcPr>
            <w:tcW w:type="dxa" w:w="7030"/>
            <w:shd w:fill="0D3265"/>
            <w:tcMar>
              <w:top w:w="90" w:type="dxa"/>
              <w:start w:w="100" w:type="dxa"/>
              <w:bottom w:w="90" w:type="dxa"/>
              <w:end w:w="100" w:type="dxa"/>
            </w:tcMar>
          </w:tcPr>
          <w:p>
            <w:r>
              <w:rPr>
                <w:b/>
                <w:color w:val="FFFFFF"/>
                <w:sz w:val="18"/>
              </w:rPr>
              <w:t>Why It Is a Problem</w:t>
            </w:r>
          </w:p>
        </w:tc>
      </w:tr>
      <w:tr>
        <w:trPr>
          <w:cantSplit/>
        </w:trPr>
        <w:tc>
          <w:tcPr>
            <w:tcW w:type="dxa" w:w="2835"/>
            <w:tcMar>
              <w:top w:w="90" w:type="dxa"/>
              <w:start w:w="100" w:type="dxa"/>
              <w:bottom w:w="90" w:type="dxa"/>
              <w:end w:w="100" w:type="dxa"/>
            </w:tcMar>
            <w:vAlign w:val="top"/>
          </w:tcPr>
          <w:p>
            <w:pPr>
              <w:spacing w:after="0"/>
            </w:pPr>
            <w:r>
              <w:rPr>
                <w:sz w:val="18"/>
              </w:rPr>
              <w:t>Scanning without confirming scope</w:t>
            </w:r>
          </w:p>
        </w:tc>
        <w:tc>
          <w:tcPr>
            <w:tcW w:type="dxa" w:w="7030"/>
            <w:tcMar>
              <w:top w:w="90" w:type="dxa"/>
              <w:start w:w="100" w:type="dxa"/>
              <w:bottom w:w="90" w:type="dxa"/>
              <w:end w:w="100" w:type="dxa"/>
            </w:tcMar>
            <w:vAlign w:val="top"/>
          </w:tcPr>
          <w:p>
            <w:pPr>
              <w:spacing w:after="0"/>
            </w:pPr>
            <w:r>
              <w:rPr>
                <w:sz w:val="18"/>
              </w:rPr>
              <w:t>Creates legal, ethical and operational risk.</w:t>
            </w:r>
          </w:p>
        </w:tc>
      </w:tr>
      <w:tr>
        <w:trPr>
          <w:cantSplit/>
        </w:trPr>
        <w:tc>
          <w:tcPr>
            <w:tcW w:type="dxa" w:w="2835"/>
            <w:shd w:fill="F7FAFC"/>
            <w:tcMar>
              <w:top w:w="90" w:type="dxa"/>
              <w:start w:w="100" w:type="dxa"/>
              <w:bottom w:w="90" w:type="dxa"/>
              <w:end w:w="100" w:type="dxa"/>
            </w:tcMar>
            <w:vAlign w:val="top"/>
          </w:tcPr>
          <w:p>
            <w:pPr>
              <w:spacing w:after="0"/>
            </w:pPr>
            <w:r>
              <w:rPr>
                <w:sz w:val="18"/>
              </w:rPr>
              <w:t>Relying on one automated tool</w:t>
            </w:r>
          </w:p>
        </w:tc>
        <w:tc>
          <w:tcPr>
            <w:tcW w:type="dxa" w:w="7030"/>
            <w:shd w:fill="F7FAFC"/>
            <w:tcMar>
              <w:top w:w="90" w:type="dxa"/>
              <w:start w:w="100" w:type="dxa"/>
              <w:bottom w:w="90" w:type="dxa"/>
              <w:end w:w="100" w:type="dxa"/>
            </w:tcMar>
            <w:vAlign w:val="top"/>
          </w:tcPr>
          <w:p>
            <w:pPr>
              <w:spacing w:after="0"/>
            </w:pPr>
            <w:r>
              <w:rPr>
                <w:sz w:val="18"/>
              </w:rPr>
              <w:t>Can produce incomplete or misleading conclusions.</w:t>
            </w:r>
          </w:p>
        </w:tc>
      </w:tr>
      <w:tr>
        <w:trPr>
          <w:cantSplit/>
        </w:trPr>
        <w:tc>
          <w:tcPr>
            <w:tcW w:type="dxa" w:w="2835"/>
            <w:tcMar>
              <w:top w:w="90" w:type="dxa"/>
              <w:start w:w="100" w:type="dxa"/>
              <w:bottom w:w="90" w:type="dxa"/>
              <w:end w:w="100" w:type="dxa"/>
            </w:tcMar>
            <w:vAlign w:val="top"/>
          </w:tcPr>
          <w:p>
            <w:pPr>
              <w:spacing w:after="0"/>
            </w:pPr>
            <w:r>
              <w:rPr>
                <w:sz w:val="18"/>
              </w:rPr>
              <w:t>Treating assumptions as facts</w:t>
            </w:r>
          </w:p>
        </w:tc>
        <w:tc>
          <w:tcPr>
            <w:tcW w:type="dxa" w:w="7030"/>
            <w:tcMar>
              <w:top w:w="90" w:type="dxa"/>
              <w:start w:w="100" w:type="dxa"/>
              <w:bottom w:w="90" w:type="dxa"/>
              <w:end w:w="100" w:type="dxa"/>
            </w:tcMar>
            <w:vAlign w:val="top"/>
          </w:tcPr>
          <w:p>
            <w:pPr>
              <w:spacing w:after="0"/>
            </w:pPr>
            <w:r>
              <w:rPr>
                <w:sz w:val="18"/>
              </w:rPr>
              <w:t>Weakens the defensibility of findings.</w:t>
            </w:r>
          </w:p>
        </w:tc>
      </w:tr>
      <w:tr>
        <w:trPr>
          <w:cantSplit/>
        </w:trPr>
        <w:tc>
          <w:tcPr>
            <w:tcW w:type="dxa" w:w="2835"/>
            <w:shd w:fill="F7FAFC"/>
            <w:tcMar>
              <w:top w:w="90" w:type="dxa"/>
              <w:start w:w="100" w:type="dxa"/>
              <w:bottom w:w="90" w:type="dxa"/>
              <w:end w:w="100" w:type="dxa"/>
            </w:tcMar>
            <w:vAlign w:val="top"/>
          </w:tcPr>
          <w:p>
            <w:pPr>
              <w:spacing w:after="0"/>
            </w:pPr>
            <w:r>
              <w:rPr>
                <w:sz w:val="18"/>
              </w:rPr>
              <w:t>Exploit-first thinking</w:t>
            </w:r>
          </w:p>
        </w:tc>
        <w:tc>
          <w:tcPr>
            <w:tcW w:type="dxa" w:w="7030"/>
            <w:shd w:fill="F7FAFC"/>
            <w:tcMar>
              <w:top w:w="90" w:type="dxa"/>
              <w:start w:w="100" w:type="dxa"/>
              <w:bottom w:w="90" w:type="dxa"/>
              <w:end w:w="100" w:type="dxa"/>
            </w:tcMar>
            <w:vAlign w:val="top"/>
          </w:tcPr>
          <w:p>
            <w:pPr>
              <w:spacing w:after="0"/>
            </w:pPr>
            <w:r>
              <w:rPr>
                <w:sz w:val="18"/>
              </w:rPr>
              <w:t>Encourages random attempts instead of evidence-based methodology.</w:t>
            </w:r>
          </w:p>
        </w:tc>
      </w:tr>
      <w:tr>
        <w:trPr>
          <w:cantSplit/>
        </w:trPr>
        <w:tc>
          <w:tcPr>
            <w:tcW w:type="dxa" w:w="2835"/>
            <w:tcMar>
              <w:top w:w="90" w:type="dxa"/>
              <w:start w:w="100" w:type="dxa"/>
              <w:bottom w:w="90" w:type="dxa"/>
              <w:end w:w="100" w:type="dxa"/>
            </w:tcMar>
            <w:vAlign w:val="top"/>
          </w:tcPr>
          <w:p>
            <w:pPr>
              <w:spacing w:after="0"/>
            </w:pPr>
            <w:r>
              <w:rPr>
                <w:sz w:val="18"/>
              </w:rPr>
              <w:t>Poor note-taking</w:t>
            </w:r>
          </w:p>
        </w:tc>
        <w:tc>
          <w:tcPr>
            <w:tcW w:type="dxa" w:w="7030"/>
            <w:tcMar>
              <w:top w:w="90" w:type="dxa"/>
              <w:start w:w="100" w:type="dxa"/>
              <w:bottom w:w="90" w:type="dxa"/>
              <w:end w:w="100" w:type="dxa"/>
            </w:tcMar>
            <w:vAlign w:val="top"/>
          </w:tcPr>
          <w:p>
            <w:pPr>
              <w:spacing w:after="0"/>
            </w:pPr>
            <w:r>
              <w:rPr>
                <w:sz w:val="18"/>
              </w:rPr>
              <w:t>Makes it difficult to reproduce the path or justify decisions.</w:t>
            </w:r>
          </w:p>
        </w:tc>
      </w:tr>
      <w:tr>
        <w:trPr>
          <w:cantSplit/>
        </w:trPr>
        <w:tc>
          <w:tcPr>
            <w:tcW w:type="dxa" w:w="2835"/>
            <w:shd w:fill="F7FAFC"/>
            <w:tcMar>
              <w:top w:w="90" w:type="dxa"/>
              <w:start w:w="100" w:type="dxa"/>
              <w:bottom w:w="90" w:type="dxa"/>
              <w:end w:w="100" w:type="dxa"/>
            </w:tcMar>
            <w:vAlign w:val="top"/>
          </w:tcPr>
          <w:p>
            <w:pPr>
              <w:spacing w:after="0"/>
            </w:pPr>
            <w:r>
              <w:rPr>
                <w:sz w:val="18"/>
              </w:rPr>
              <w:t>Collecting screenshots without context</w:t>
            </w:r>
          </w:p>
        </w:tc>
        <w:tc>
          <w:tcPr>
            <w:tcW w:type="dxa" w:w="7030"/>
            <w:shd w:fill="F7FAFC"/>
            <w:tcMar>
              <w:top w:w="90" w:type="dxa"/>
              <w:start w:w="100" w:type="dxa"/>
              <w:bottom w:w="90" w:type="dxa"/>
              <w:end w:w="100" w:type="dxa"/>
            </w:tcMar>
            <w:vAlign w:val="top"/>
          </w:tcPr>
          <w:p>
            <w:pPr>
              <w:spacing w:after="0"/>
            </w:pPr>
            <w:r>
              <w:rPr>
                <w:sz w:val="18"/>
              </w:rPr>
              <w:t>Leaves the reviewer unable to understand what the evidence proves.</w:t>
            </w:r>
          </w:p>
        </w:tc>
      </w:tr>
      <w:tr>
        <w:trPr>
          <w:cantSplit/>
        </w:trPr>
        <w:tc>
          <w:tcPr>
            <w:tcW w:type="dxa" w:w="2835"/>
            <w:tcMar>
              <w:top w:w="90" w:type="dxa"/>
              <w:start w:w="100" w:type="dxa"/>
              <w:bottom w:w="90" w:type="dxa"/>
              <w:end w:w="100" w:type="dxa"/>
            </w:tcMar>
            <w:vAlign w:val="top"/>
          </w:tcPr>
          <w:p>
            <w:pPr>
              <w:spacing w:after="0"/>
            </w:pPr>
            <w:r>
              <w:rPr>
                <w:sz w:val="18"/>
              </w:rPr>
              <w:t>Stopping after initial access</w:t>
            </w:r>
          </w:p>
        </w:tc>
        <w:tc>
          <w:tcPr>
            <w:tcW w:type="dxa" w:w="7030"/>
            <w:tcMar>
              <w:top w:w="90" w:type="dxa"/>
              <w:start w:w="100" w:type="dxa"/>
              <w:bottom w:w="90" w:type="dxa"/>
              <w:end w:w="100" w:type="dxa"/>
            </w:tcMar>
            <w:vAlign w:val="top"/>
          </w:tcPr>
          <w:p>
            <w:pPr>
              <w:spacing w:after="0"/>
            </w:pPr>
            <w:r>
              <w:rPr>
                <w:sz w:val="18"/>
              </w:rPr>
              <w:t>Misses host analysis, privilege boundaries and the full security impact.</w:t>
            </w:r>
          </w:p>
        </w:tc>
      </w:tr>
      <w:tr>
        <w:trPr>
          <w:cantSplit/>
        </w:trPr>
        <w:tc>
          <w:tcPr>
            <w:tcW w:type="dxa" w:w="2835"/>
            <w:shd w:fill="F7FAFC"/>
            <w:tcMar>
              <w:top w:w="90" w:type="dxa"/>
              <w:start w:w="100" w:type="dxa"/>
              <w:bottom w:w="90" w:type="dxa"/>
              <w:end w:w="100" w:type="dxa"/>
            </w:tcMar>
            <w:vAlign w:val="top"/>
          </w:tcPr>
          <w:p>
            <w:pPr>
              <w:spacing w:after="0"/>
            </w:pPr>
            <w:r>
              <w:rPr>
                <w:sz w:val="18"/>
              </w:rPr>
              <w:t>Generic remediation</w:t>
            </w:r>
          </w:p>
        </w:tc>
        <w:tc>
          <w:tcPr>
            <w:tcW w:type="dxa" w:w="7030"/>
            <w:shd w:fill="F7FAFC"/>
            <w:tcMar>
              <w:top w:w="90" w:type="dxa"/>
              <w:start w:w="100" w:type="dxa"/>
              <w:bottom w:w="90" w:type="dxa"/>
              <w:end w:w="100" w:type="dxa"/>
            </w:tcMar>
            <w:vAlign w:val="top"/>
          </w:tcPr>
          <w:p>
            <w:pPr>
              <w:spacing w:after="0"/>
            </w:pPr>
            <w:r>
              <w:rPr>
                <w:sz w:val="18"/>
              </w:rPr>
              <w:t>Does not help the organisation correct the actual root cause.</w:t>
            </w:r>
          </w:p>
        </w:tc>
      </w:tr>
      <w:tr>
        <w:trPr>
          <w:cantSplit/>
        </w:trPr>
        <w:tc>
          <w:tcPr>
            <w:tcW w:type="dxa" w:w="2835"/>
            <w:tcMar>
              <w:top w:w="90" w:type="dxa"/>
              <w:start w:w="100" w:type="dxa"/>
              <w:bottom w:w="90" w:type="dxa"/>
              <w:end w:w="100" w:type="dxa"/>
            </w:tcMar>
            <w:vAlign w:val="top"/>
          </w:tcPr>
          <w:p>
            <w:pPr>
              <w:spacing w:after="0"/>
            </w:pPr>
            <w:r>
              <w:rPr>
                <w:sz w:val="18"/>
              </w:rPr>
              <w:t>Using walkthroughs or copied solutions</w:t>
            </w:r>
          </w:p>
        </w:tc>
        <w:tc>
          <w:tcPr>
            <w:tcW w:type="dxa" w:w="7030"/>
            <w:tcMar>
              <w:top w:w="90" w:type="dxa"/>
              <w:start w:w="100" w:type="dxa"/>
              <w:bottom w:w="90" w:type="dxa"/>
              <w:end w:w="100" w:type="dxa"/>
            </w:tcMar>
            <w:vAlign w:val="top"/>
          </w:tcPr>
          <w:p>
            <w:pPr>
              <w:spacing w:after="0"/>
            </w:pPr>
            <w:r>
              <w:rPr>
                <w:sz w:val="18"/>
              </w:rPr>
              <w:t>Defeats the learning objective and undermines academic integrity.</w:t>
            </w:r>
          </w:p>
        </w:tc>
      </w:tr>
      <w:tr>
        <w:trPr>
          <w:cantSplit/>
        </w:trPr>
        <w:tc>
          <w:tcPr>
            <w:tcW w:type="dxa" w:w="2835"/>
            <w:shd w:fill="F7FAFC"/>
            <w:tcMar>
              <w:top w:w="90" w:type="dxa"/>
              <w:start w:w="100" w:type="dxa"/>
              <w:bottom w:w="90" w:type="dxa"/>
              <w:end w:w="100" w:type="dxa"/>
            </w:tcMar>
            <w:vAlign w:val="top"/>
          </w:tcPr>
          <w:p>
            <w:pPr>
              <w:spacing w:after="0"/>
            </w:pPr>
            <w:r>
              <w:rPr>
                <w:sz w:val="18"/>
              </w:rPr>
              <w:t>Failing to restore the target</w:t>
            </w:r>
          </w:p>
        </w:tc>
        <w:tc>
          <w:tcPr>
            <w:tcW w:type="dxa" w:w="7030"/>
            <w:shd w:fill="F7FAFC"/>
            <w:tcMar>
              <w:top w:w="90" w:type="dxa"/>
              <w:start w:w="100" w:type="dxa"/>
              <w:bottom w:w="90" w:type="dxa"/>
              <w:end w:w="100" w:type="dxa"/>
            </w:tcMar>
            <w:vAlign w:val="top"/>
          </w:tcPr>
          <w:p>
            <w:pPr>
              <w:spacing w:after="0"/>
            </w:pPr>
            <w:r>
              <w:rPr>
                <w:sz w:val="18"/>
              </w:rPr>
              <w:t>Leaves the environment uncontrolled after the exercise.</w:t>
            </w:r>
          </w:p>
        </w:tc>
      </w:tr>
    </w:tbl>
    <w:p>
      <w:pPr>
        <w:spacing w:after="0"/>
      </w:pPr>
    </w:p>
    <w:p>
      <w:pPr>
        <w:pStyle w:val="Heading1"/>
      </w:pPr>
      <w:r>
        <w:t>Module 12 - Revision Guide and Key Concepts</w:t>
      </w:r>
    </w:p>
    <w:p>
      <w:pPr>
        <w:pStyle w:val="Heading2"/>
      </w:pPr>
      <w:r>
        <w:t>12.1 The Offensive Operations Flow</w:t>
      </w:r>
    </w:p>
    <w:p>
      <w:pPr>
        <w:spacing w:after="40"/>
        <w:ind w:left="283" w:hanging="283"/>
      </w:pPr>
      <w:r>
        <w:t>1. Confirm authorisation, scope and laboratory isolation.</w:t>
      </w:r>
    </w:p>
    <w:p>
      <w:pPr>
        <w:spacing w:after="40"/>
        <w:ind w:left="283" w:hanging="283"/>
      </w:pPr>
      <w:r>
        <w:t>2. Create the clean baseline snapshot and evidence workspace.</w:t>
      </w:r>
    </w:p>
    <w:p>
      <w:pPr>
        <w:spacing w:after="40"/>
        <w:ind w:left="283" w:hanging="283"/>
      </w:pPr>
      <w:r>
        <w:t>3. Discover and verify the authorised target.</w:t>
      </w:r>
    </w:p>
    <w:p>
      <w:pPr>
        <w:spacing w:after="40"/>
        <w:ind w:left="283" w:hanging="283"/>
      </w:pPr>
      <w:r>
        <w:t>4. Enumerate the attack surface systematically.</w:t>
      </w:r>
    </w:p>
    <w:p>
      <w:pPr>
        <w:spacing w:after="40"/>
        <w:ind w:left="283" w:hanging="283"/>
      </w:pPr>
      <w:r>
        <w:t>5. Research observations and build vulnerability hypotheses.</w:t>
      </w:r>
    </w:p>
    <w:p>
      <w:pPr>
        <w:spacing w:after="40"/>
        <w:ind w:left="283" w:hanging="283"/>
      </w:pPr>
      <w:r>
        <w:t>6. Validate the strongest hypothesis using the least destructive method.</w:t>
      </w:r>
    </w:p>
    <w:p>
      <w:pPr>
        <w:spacing w:after="40"/>
        <w:ind w:left="283" w:hanging="283"/>
      </w:pPr>
      <w:r>
        <w:t>7. Document initial access and the resulting context.</w:t>
      </w:r>
    </w:p>
    <w:p>
      <w:pPr>
        <w:spacing w:after="40"/>
        <w:ind w:left="283" w:hanging="283"/>
      </w:pPr>
      <w:r>
        <w:t>8. Enumerate the host after access.</w:t>
      </w:r>
    </w:p>
    <w:p>
      <w:pPr>
        <w:spacing w:after="40"/>
        <w:ind w:left="283" w:hanging="283"/>
      </w:pPr>
      <w:r>
        <w:t>9. Identify and validate a privilege-escalation path where authorised.</w:t>
      </w:r>
    </w:p>
    <w:p>
      <w:pPr>
        <w:spacing w:after="40"/>
        <w:ind w:left="283" w:hanging="283"/>
      </w:pPr>
      <w:r>
        <w:t>10. Preserve mission evidence and record the attack chain.</w:t>
      </w:r>
    </w:p>
    <w:p>
      <w:pPr>
        <w:spacing w:after="40"/>
        <w:ind w:left="283" w:hanging="283"/>
      </w:pPr>
      <w:r>
        <w:t>11. Restore the target to the clean state.</w:t>
      </w:r>
    </w:p>
    <w:p>
      <w:pPr>
        <w:spacing w:after="40"/>
        <w:ind w:left="283" w:hanging="283"/>
      </w:pPr>
      <w:r>
        <w:t>12. Report findings, risk and remediation professionally.</w:t>
      </w:r>
    </w:p>
    <w:p>
      <w:pPr>
        <w:pStyle w:val="Heading2"/>
      </w:pPr>
      <w:r>
        <w:t>12.2 Essential Terms</w:t>
      </w:r>
    </w:p>
    <w:tbl>
      <w:tblPr>
        <w:tblStyle w:val="TableGrid"/>
        <w:tblW w:type="auto" w:w="0"/>
        <w:jc w:val="center"/>
        <w:tblLook w:firstColumn="1" w:firstRow="1" w:lastColumn="0" w:lastRow="0" w:noHBand="0" w:noVBand="1" w:val="04A0"/>
      </w:tblPr>
      <w:tblGrid>
        <w:gridCol w:w="4933"/>
        <w:gridCol w:w="4933"/>
      </w:tblGrid>
      <w:tr>
        <w:trPr>
          <w:cantSplit/>
        </w:trPr>
        <w:tc>
          <w:tcPr>
            <w:tcW w:type="dxa" w:w="2721"/>
            <w:shd w:fill="0D3265"/>
            <w:tcMar>
              <w:top w:w="90" w:type="dxa"/>
              <w:start w:w="100" w:type="dxa"/>
              <w:bottom w:w="90" w:type="dxa"/>
              <w:end w:w="100" w:type="dxa"/>
            </w:tcMar>
          </w:tcPr>
          <w:p>
            <w:r>
              <w:rPr>
                <w:b/>
                <w:color w:val="FFFFFF"/>
                <w:sz w:val="18"/>
              </w:rPr>
              <w:t>Term</w:t>
            </w:r>
          </w:p>
        </w:tc>
        <w:tc>
          <w:tcPr>
            <w:tcW w:type="dxa" w:w="7143"/>
            <w:shd w:fill="0D3265"/>
            <w:tcMar>
              <w:top w:w="90" w:type="dxa"/>
              <w:start w:w="100" w:type="dxa"/>
              <w:bottom w:w="90" w:type="dxa"/>
              <w:end w:w="100" w:type="dxa"/>
            </w:tcMar>
          </w:tcPr>
          <w:p>
            <w:r>
              <w:rPr>
                <w:b/>
                <w:color w:val="FFFFFF"/>
                <w:sz w:val="18"/>
              </w:rPr>
              <w:t>Meaning</w:t>
            </w:r>
          </w:p>
        </w:tc>
      </w:tr>
      <w:tr>
        <w:trPr>
          <w:cantSplit/>
        </w:trPr>
        <w:tc>
          <w:tcPr>
            <w:tcW w:type="dxa" w:w="2721"/>
            <w:tcMar>
              <w:top w:w="90" w:type="dxa"/>
              <w:start w:w="100" w:type="dxa"/>
              <w:bottom w:w="90" w:type="dxa"/>
              <w:end w:w="100" w:type="dxa"/>
            </w:tcMar>
            <w:vAlign w:val="top"/>
          </w:tcPr>
          <w:p>
            <w:pPr>
              <w:spacing w:after="0"/>
            </w:pPr>
            <w:r>
              <w:rPr>
                <w:sz w:val="18"/>
              </w:rPr>
              <w:t>Attack Surface</w:t>
            </w:r>
          </w:p>
        </w:tc>
        <w:tc>
          <w:tcPr>
            <w:tcW w:type="dxa" w:w="7143"/>
            <w:tcMar>
              <w:top w:w="90" w:type="dxa"/>
              <w:start w:w="100" w:type="dxa"/>
              <w:bottom w:w="90" w:type="dxa"/>
              <w:end w:w="100" w:type="dxa"/>
            </w:tcMar>
            <w:vAlign w:val="top"/>
          </w:tcPr>
          <w:p>
            <w:pPr>
              <w:spacing w:after="0"/>
            </w:pPr>
            <w:r>
              <w:rPr>
                <w:sz w:val="18"/>
              </w:rPr>
              <w:t>The set of exposed services, applications, interfaces and trust relationships that may be tested.</w:t>
            </w:r>
          </w:p>
        </w:tc>
      </w:tr>
      <w:tr>
        <w:trPr>
          <w:cantSplit/>
        </w:trPr>
        <w:tc>
          <w:tcPr>
            <w:tcW w:type="dxa" w:w="2721"/>
            <w:shd w:fill="F7FAFC"/>
            <w:tcMar>
              <w:top w:w="90" w:type="dxa"/>
              <w:start w:w="100" w:type="dxa"/>
              <w:bottom w:w="90" w:type="dxa"/>
              <w:end w:w="100" w:type="dxa"/>
            </w:tcMar>
            <w:vAlign w:val="top"/>
          </w:tcPr>
          <w:p>
            <w:pPr>
              <w:spacing w:after="0"/>
            </w:pPr>
            <w:r>
              <w:rPr>
                <w:sz w:val="18"/>
              </w:rPr>
              <w:t>Reconnaissance</w:t>
            </w:r>
          </w:p>
        </w:tc>
        <w:tc>
          <w:tcPr>
            <w:tcW w:type="dxa" w:w="7143"/>
            <w:shd w:fill="F7FAFC"/>
            <w:tcMar>
              <w:top w:w="90" w:type="dxa"/>
              <w:start w:w="100" w:type="dxa"/>
              <w:bottom w:w="90" w:type="dxa"/>
              <w:end w:w="100" w:type="dxa"/>
            </w:tcMar>
            <w:vAlign w:val="top"/>
          </w:tcPr>
          <w:p>
            <w:pPr>
              <w:spacing w:after="0"/>
            </w:pPr>
            <w:r>
              <w:rPr>
                <w:sz w:val="18"/>
              </w:rPr>
              <w:t>The process of learning about the target and its environment before deeper testing.</w:t>
            </w:r>
          </w:p>
        </w:tc>
      </w:tr>
      <w:tr>
        <w:trPr>
          <w:cantSplit/>
        </w:trPr>
        <w:tc>
          <w:tcPr>
            <w:tcW w:type="dxa" w:w="2721"/>
            <w:tcMar>
              <w:top w:w="90" w:type="dxa"/>
              <w:start w:w="100" w:type="dxa"/>
              <w:bottom w:w="90" w:type="dxa"/>
              <w:end w:w="100" w:type="dxa"/>
            </w:tcMar>
            <w:vAlign w:val="top"/>
          </w:tcPr>
          <w:p>
            <w:pPr>
              <w:spacing w:after="0"/>
            </w:pPr>
            <w:r>
              <w:rPr>
                <w:sz w:val="18"/>
              </w:rPr>
              <w:t>Enumeration</w:t>
            </w:r>
          </w:p>
        </w:tc>
        <w:tc>
          <w:tcPr>
            <w:tcW w:type="dxa" w:w="7143"/>
            <w:tcMar>
              <w:top w:w="90" w:type="dxa"/>
              <w:start w:w="100" w:type="dxa"/>
              <w:bottom w:w="90" w:type="dxa"/>
              <w:end w:w="100" w:type="dxa"/>
            </w:tcMar>
            <w:vAlign w:val="top"/>
          </w:tcPr>
          <w:p>
            <w:pPr>
              <w:spacing w:after="0"/>
            </w:pPr>
            <w:r>
              <w:rPr>
                <w:sz w:val="18"/>
              </w:rPr>
              <w:t>Systematic collection of detailed information about exposed services and technologies.</w:t>
            </w:r>
          </w:p>
        </w:tc>
      </w:tr>
      <w:tr>
        <w:trPr>
          <w:cantSplit/>
        </w:trPr>
        <w:tc>
          <w:tcPr>
            <w:tcW w:type="dxa" w:w="2721"/>
            <w:shd w:fill="F7FAFC"/>
            <w:tcMar>
              <w:top w:w="90" w:type="dxa"/>
              <w:start w:w="100" w:type="dxa"/>
              <w:bottom w:w="90" w:type="dxa"/>
              <w:end w:w="100" w:type="dxa"/>
            </w:tcMar>
            <w:vAlign w:val="top"/>
          </w:tcPr>
          <w:p>
            <w:pPr>
              <w:spacing w:after="0"/>
            </w:pPr>
            <w:r>
              <w:rPr>
                <w:sz w:val="18"/>
              </w:rPr>
              <w:t>Vulnerability Hypothesis</w:t>
            </w:r>
          </w:p>
        </w:tc>
        <w:tc>
          <w:tcPr>
            <w:tcW w:type="dxa" w:w="7143"/>
            <w:shd w:fill="F7FAFC"/>
            <w:tcMar>
              <w:top w:w="90" w:type="dxa"/>
              <w:start w:w="100" w:type="dxa"/>
              <w:bottom w:w="90" w:type="dxa"/>
              <w:end w:w="100" w:type="dxa"/>
            </w:tcMar>
            <w:vAlign w:val="top"/>
          </w:tcPr>
          <w:p>
            <w:pPr>
              <w:spacing w:after="0"/>
            </w:pPr>
            <w:r>
              <w:rPr>
                <w:sz w:val="18"/>
              </w:rPr>
              <w:t>A plausible weakness suggested by evidence but not yet confirmed.</w:t>
            </w:r>
          </w:p>
        </w:tc>
      </w:tr>
      <w:tr>
        <w:trPr>
          <w:cantSplit/>
        </w:trPr>
        <w:tc>
          <w:tcPr>
            <w:tcW w:type="dxa" w:w="2721"/>
            <w:tcMar>
              <w:top w:w="90" w:type="dxa"/>
              <w:start w:w="100" w:type="dxa"/>
              <w:bottom w:w="90" w:type="dxa"/>
              <w:end w:w="100" w:type="dxa"/>
            </w:tcMar>
            <w:vAlign w:val="top"/>
          </w:tcPr>
          <w:p>
            <w:pPr>
              <w:spacing w:after="0"/>
            </w:pPr>
            <w:r>
              <w:rPr>
                <w:sz w:val="18"/>
              </w:rPr>
              <w:t>Initial Access</w:t>
            </w:r>
          </w:p>
        </w:tc>
        <w:tc>
          <w:tcPr>
            <w:tcW w:type="dxa" w:w="7143"/>
            <w:tcMar>
              <w:top w:w="90" w:type="dxa"/>
              <w:start w:w="100" w:type="dxa"/>
              <w:bottom w:w="90" w:type="dxa"/>
              <w:end w:w="100" w:type="dxa"/>
            </w:tcMar>
            <w:vAlign w:val="top"/>
          </w:tcPr>
          <w:p>
            <w:pPr>
              <w:spacing w:after="0"/>
            </w:pPr>
            <w:r>
              <w:rPr>
                <w:sz w:val="18"/>
              </w:rPr>
              <w:t>The first successful authorised compromise of the target.</w:t>
            </w:r>
          </w:p>
        </w:tc>
      </w:tr>
      <w:tr>
        <w:trPr>
          <w:cantSplit/>
        </w:trPr>
        <w:tc>
          <w:tcPr>
            <w:tcW w:type="dxa" w:w="2721"/>
            <w:shd w:fill="F7FAFC"/>
            <w:tcMar>
              <w:top w:w="90" w:type="dxa"/>
              <w:start w:w="100" w:type="dxa"/>
              <w:bottom w:w="90" w:type="dxa"/>
              <w:end w:w="100" w:type="dxa"/>
            </w:tcMar>
            <w:vAlign w:val="top"/>
          </w:tcPr>
          <w:p>
            <w:pPr>
              <w:spacing w:after="0"/>
            </w:pPr>
            <w:r>
              <w:rPr>
                <w:sz w:val="18"/>
              </w:rPr>
              <w:t>Post-Exploitation</w:t>
            </w:r>
          </w:p>
        </w:tc>
        <w:tc>
          <w:tcPr>
            <w:tcW w:type="dxa" w:w="7143"/>
            <w:shd w:fill="F7FAFC"/>
            <w:tcMar>
              <w:top w:w="90" w:type="dxa"/>
              <w:start w:w="100" w:type="dxa"/>
              <w:bottom w:w="90" w:type="dxa"/>
              <w:end w:w="100" w:type="dxa"/>
            </w:tcMar>
            <w:vAlign w:val="top"/>
          </w:tcPr>
          <w:p>
            <w:pPr>
              <w:spacing w:after="0"/>
            </w:pPr>
            <w:r>
              <w:rPr>
                <w:sz w:val="18"/>
              </w:rPr>
              <w:t>Structured analysis of the compromised host after access.</w:t>
            </w:r>
          </w:p>
        </w:tc>
      </w:tr>
      <w:tr>
        <w:trPr>
          <w:cantSplit/>
        </w:trPr>
        <w:tc>
          <w:tcPr>
            <w:tcW w:type="dxa" w:w="2721"/>
            <w:tcMar>
              <w:top w:w="90" w:type="dxa"/>
              <w:start w:w="100" w:type="dxa"/>
              <w:bottom w:w="90" w:type="dxa"/>
              <w:end w:w="100" w:type="dxa"/>
            </w:tcMar>
            <w:vAlign w:val="top"/>
          </w:tcPr>
          <w:p>
            <w:pPr>
              <w:spacing w:after="0"/>
            </w:pPr>
            <w:r>
              <w:rPr>
                <w:sz w:val="18"/>
              </w:rPr>
              <w:t>Privilege Escalation</w:t>
            </w:r>
          </w:p>
        </w:tc>
        <w:tc>
          <w:tcPr>
            <w:tcW w:type="dxa" w:w="7143"/>
            <w:tcMar>
              <w:top w:w="90" w:type="dxa"/>
              <w:start w:w="100" w:type="dxa"/>
              <w:bottom w:w="90" w:type="dxa"/>
              <w:end w:w="100" w:type="dxa"/>
            </w:tcMar>
            <w:vAlign w:val="top"/>
          </w:tcPr>
          <w:p>
            <w:pPr>
              <w:spacing w:after="0"/>
            </w:pPr>
            <w:r>
              <w:rPr>
                <w:sz w:val="18"/>
              </w:rPr>
              <w:t>Movement to a higher authorised privilege level by exploiting a privilege-boundary weakness.</w:t>
            </w:r>
          </w:p>
        </w:tc>
      </w:tr>
      <w:tr>
        <w:trPr>
          <w:cantSplit/>
        </w:trPr>
        <w:tc>
          <w:tcPr>
            <w:tcW w:type="dxa" w:w="2721"/>
            <w:shd w:fill="F7FAFC"/>
            <w:tcMar>
              <w:top w:w="90" w:type="dxa"/>
              <w:start w:w="100" w:type="dxa"/>
              <w:bottom w:w="90" w:type="dxa"/>
              <w:end w:w="100" w:type="dxa"/>
            </w:tcMar>
            <w:vAlign w:val="top"/>
          </w:tcPr>
          <w:p>
            <w:pPr>
              <w:spacing w:after="0"/>
            </w:pPr>
            <w:r>
              <w:rPr>
                <w:sz w:val="18"/>
              </w:rPr>
              <w:t>Operator Log</w:t>
            </w:r>
          </w:p>
        </w:tc>
        <w:tc>
          <w:tcPr>
            <w:tcW w:type="dxa" w:w="7143"/>
            <w:shd w:fill="F7FAFC"/>
            <w:tcMar>
              <w:top w:w="90" w:type="dxa"/>
              <w:start w:w="100" w:type="dxa"/>
              <w:bottom w:w="90" w:type="dxa"/>
              <w:end w:w="100" w:type="dxa"/>
            </w:tcMar>
            <w:vAlign w:val="top"/>
          </w:tcPr>
          <w:p>
            <w:pPr>
              <w:spacing w:after="0"/>
            </w:pPr>
            <w:r>
              <w:rPr>
                <w:sz w:val="18"/>
              </w:rPr>
              <w:t>Chronological record of material actions, observations, decisions and outcomes.</w:t>
            </w:r>
          </w:p>
        </w:tc>
      </w:tr>
      <w:tr>
        <w:trPr>
          <w:cantSplit/>
        </w:trPr>
        <w:tc>
          <w:tcPr>
            <w:tcW w:type="dxa" w:w="2721"/>
            <w:tcMar>
              <w:top w:w="90" w:type="dxa"/>
              <w:start w:w="100" w:type="dxa"/>
              <w:bottom w:w="90" w:type="dxa"/>
              <w:end w:w="100" w:type="dxa"/>
            </w:tcMar>
            <w:vAlign w:val="top"/>
          </w:tcPr>
          <w:p>
            <w:pPr>
              <w:spacing w:after="0"/>
            </w:pPr>
            <w:r>
              <w:rPr>
                <w:sz w:val="18"/>
              </w:rPr>
              <w:t>Evidence Reference</w:t>
            </w:r>
          </w:p>
        </w:tc>
        <w:tc>
          <w:tcPr>
            <w:tcW w:type="dxa" w:w="7143"/>
            <w:tcMar>
              <w:top w:w="90" w:type="dxa"/>
              <w:start w:w="100" w:type="dxa"/>
              <w:bottom w:w="90" w:type="dxa"/>
              <w:end w:w="100" w:type="dxa"/>
            </w:tcMar>
            <w:vAlign w:val="top"/>
          </w:tcPr>
          <w:p>
            <w:pPr>
              <w:spacing w:after="0"/>
            </w:pPr>
            <w:r>
              <w:rPr>
                <w:sz w:val="18"/>
              </w:rPr>
              <w:t>A unique identifier that links the report to supporting proof.</w:t>
            </w:r>
          </w:p>
        </w:tc>
      </w:tr>
      <w:tr>
        <w:trPr>
          <w:cantSplit/>
        </w:trPr>
        <w:tc>
          <w:tcPr>
            <w:tcW w:type="dxa" w:w="2721"/>
            <w:shd w:fill="F7FAFC"/>
            <w:tcMar>
              <w:top w:w="90" w:type="dxa"/>
              <w:start w:w="100" w:type="dxa"/>
              <w:bottom w:w="90" w:type="dxa"/>
              <w:end w:w="100" w:type="dxa"/>
            </w:tcMar>
            <w:vAlign w:val="top"/>
          </w:tcPr>
          <w:p>
            <w:pPr>
              <w:spacing w:after="0"/>
            </w:pPr>
            <w:r>
              <w:rPr>
                <w:sz w:val="18"/>
              </w:rPr>
              <w:t>Remediation</w:t>
            </w:r>
          </w:p>
        </w:tc>
        <w:tc>
          <w:tcPr>
            <w:tcW w:type="dxa" w:w="7143"/>
            <w:shd w:fill="F7FAFC"/>
            <w:tcMar>
              <w:top w:w="90" w:type="dxa"/>
              <w:start w:w="100" w:type="dxa"/>
              <w:bottom w:w="90" w:type="dxa"/>
              <w:end w:w="100" w:type="dxa"/>
            </w:tcMar>
            <w:vAlign w:val="top"/>
          </w:tcPr>
          <w:p>
            <w:pPr>
              <w:spacing w:after="0"/>
            </w:pPr>
            <w:r>
              <w:rPr>
                <w:sz w:val="18"/>
              </w:rPr>
              <w:t>Corrective action that addresses the root cause of a confirmed weakness.</w:t>
            </w:r>
          </w:p>
        </w:tc>
      </w:tr>
    </w:tbl>
    <w:p>
      <w:pPr>
        <w:spacing w:after="0"/>
      </w:pPr>
    </w:p>
    <w:p>
      <w:pPr>
        <w:pStyle w:val="Heading2"/>
      </w:pPr>
      <w:r>
        <w:t>12.3 Final Revision Questions</w:t>
      </w:r>
    </w:p>
    <w:p>
      <w:pPr>
        <w:spacing w:after="60"/>
        <w:ind w:left="283" w:hanging="283"/>
      </w:pPr>
      <w:r>
        <w:t>1. Explain why authorisation and scope come before every technical activity.</w:t>
      </w:r>
    </w:p>
    <w:p>
      <w:pPr>
        <w:spacing w:after="60"/>
        <w:ind w:left="283" w:hanging="283"/>
      </w:pPr>
      <w:r>
        <w:t>2. Describe the difference between reconnaissance and enumeration.</w:t>
      </w:r>
    </w:p>
    <w:p>
      <w:pPr>
        <w:spacing w:after="60"/>
        <w:ind w:left="283" w:hanging="283"/>
      </w:pPr>
      <w:r>
        <w:t>3. Explain why one automated scan is not sufficient evidence of an attack surface.</w:t>
      </w:r>
    </w:p>
    <w:p>
      <w:pPr>
        <w:spacing w:after="60"/>
        <w:ind w:left="283" w:hanging="283"/>
      </w:pPr>
      <w:r>
        <w:t>4. Describe the evidence-to-hypothesis cycle used in vulnerability analysis.</w:t>
      </w:r>
    </w:p>
    <w:p>
      <w:pPr>
        <w:spacing w:after="60"/>
        <w:ind w:left="283" w:hanging="283"/>
      </w:pPr>
      <w:r>
        <w:t>5. What should be documented when initial access is achieved?</w:t>
      </w:r>
    </w:p>
    <w:p>
      <w:pPr>
        <w:spacing w:after="60"/>
        <w:ind w:left="283" w:hanging="283"/>
      </w:pPr>
      <w:r>
        <w:t>6. List the main areas to examine during Linux post-exploitation.</w:t>
      </w:r>
    </w:p>
    <w:p>
      <w:pPr>
        <w:spacing w:after="60"/>
        <w:ind w:left="283" w:hanging="283"/>
      </w:pPr>
      <w:r>
        <w:t>7. Give examples of privilege-boundary weaknesses without naming a target-specific exploit.</w:t>
      </w:r>
    </w:p>
    <w:p>
      <w:pPr>
        <w:spacing w:after="60"/>
        <w:ind w:left="283" w:hanging="283"/>
      </w:pPr>
      <w:r>
        <w:t>8. What makes an operator log useful to an instructor or professional reviewer?</w:t>
      </w:r>
    </w:p>
    <w:p>
      <w:pPr>
        <w:spacing w:after="60"/>
        <w:ind w:left="283" w:hanging="283"/>
      </w:pPr>
      <w:r>
        <w:t>9. How should a technical finding be translated into risk and remediation?</w:t>
      </w:r>
    </w:p>
    <w:p>
      <w:pPr>
        <w:spacing w:after="60"/>
        <w:ind w:left="283" w:hanging="283"/>
      </w:pPr>
      <w:r>
        <w:t>10. What is the difference between an executive summary and a technical narrative?</w:t>
      </w:r>
    </w:p>
    <w:tbl>
      <w:tblPr>
        <w:tblW w:type="auto" w:w="0"/>
        <w:jc w:val="center"/>
        <w:tblLook w:firstColumn="1" w:firstRow="1" w:lastColumn="0" w:lastRow="0" w:noHBand="0" w:noVBand="1" w:val="04A0"/>
      </w:tblPr>
      <w:tblGrid>
        <w:gridCol w:w="9866"/>
      </w:tblGrid>
      <w:tr>
        <w:trPr>
          <w:cantSplit/>
        </w:trPr>
        <w:tc>
          <w:tcPr>
            <w:tcW w:type="dxa" w:w="9866"/>
            <w:shd w:fill="EAF4FB"/>
            <w:tcMar>
              <w:top w:w="120" w:type="dxa"/>
              <w:start w:w="150" w:type="dxa"/>
              <w:bottom w:w="120" w:type="dxa"/>
              <w:end w:w="150" w:type="dxa"/>
            </w:tcMar>
          </w:tcPr>
          <w:p>
            <w:pPr>
              <w:spacing w:after="40"/>
            </w:pPr>
            <w:r>
              <w:rPr>
                <w:b/>
                <w:color w:val="0D3265"/>
                <w:sz w:val="21"/>
              </w:rPr>
              <w:t>FINAL STUDY MESSAGE</w:t>
            </w:r>
          </w:p>
          <w:p>
            <w:pPr>
              <w:spacing w:after="0"/>
            </w:pPr>
            <w:r>
              <w:rPr>
                <w:sz w:val="20"/>
              </w:rPr>
              <w:t>The strongest offensive-security work is disciplined, evidence-driven and explainable. Learn the methodology, not a target-specific trick: observe carefully, verify claims, preserve evidence, respect scope, understand privilege boundaries and communicate risk clearly.</w:t>
            </w:r>
          </w:p>
        </w:tc>
      </w:tr>
    </w:tbl>
    <w:p>
      <w:pPr>
        <w:spacing w:after="0"/>
      </w:pPr>
    </w:p>
    <w:p>
      <w:pPr>
        <w:spacing w:before="280"/>
        <w:jc w:val="center"/>
      </w:pPr>
      <w:r>
        <w:rPr>
          <w:b/>
          <w:color w:val="0D3265"/>
        </w:rPr>
        <w:t>END OF STUDY MATERIAL</w:t>
      </w:r>
    </w:p>
    <w:sectPr w:rsidR="00FC693F" w:rsidRPr="0006063C" w:rsidSect="00034616">
      <w:headerReference w:type="default" r:id="rId9"/>
      <w:footerReference w:type="default" r:id="rId10"/>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56E"/>
        <w:sz w:val="16"/>
      </w:rPr>
      <w:t>International Cybersecurity and Digital Forensics Academy | Training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0D3265"/>
        <w:sz w:val="16"/>
      </w:rPr>
      <w:t>ICDFA | OFFENSIVE SECURITY OPERATIONS II | STUDY MATERIAL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D3265"/>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0D32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0202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D326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Point">
    <w:name w:val="Key Point"/>
    <w:rPr>
      <w:rFonts w:ascii="Aptos" w:hAnsi="Aptos"/>
      <w:b/>
      <w:color w:val="0D3265"/>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Offensive Security Operations II - Study Material</dc:title>
  <dc:subject>Authorised offensive security operations study notes</dc:subject>
  <dc:creator>International Cybersecurity and Digital Forensics Academy (ICDFA)</dc:creator>
  <cp:keywords>ICDFA, Offensive Security Operations II, reconnaissance, enumeration, post-exploitation, privilege escalation, reporting</cp:keywords>
  <dc:description>generated by python-docx</dc:description>
  <cp:lastModifiedBy/>
  <cp:revision>1</cp:revision>
  <dcterms:created xsi:type="dcterms:W3CDTF">2013-12-23T23:15:00Z</dcterms:created>
  <dcterms:modified xsi:type="dcterms:W3CDTF">2013-12-23T23:15:00Z</dcterms:modified>
  <cp:category/>
</cp:coreProperties>
</file>