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pPr w:leftFromText="142" w:rightFromText="142" w:vertAnchor="page" w:horzAnchor="text" w:tblpY="1291"/>
        <w:tblOverlap w:val="never"/>
        <w:tblW w:w="10110" w:type="dxa"/>
        <w:tblBorders>
          <w:top w:val="single" w:sz="3" w:space="0" w:color="000000"/>
          <w:left w:val="single" w:sz="3" w:space="0" w:color="000000"/>
          <w:bottom w:val="single" w:sz="3" w:space="0" w:color="000000"/>
          <w:right w:val="single" w:sz="3" w:space="0" w:color="000000"/>
        </w:tblBorders>
        <w:tblLook w:val="0000" w:firstRow="0" w:lastRow="0" w:firstColumn="0" w:lastColumn="0" w:noHBand="0" w:noVBand="0"/>
        <w:tblLayout w:type="fixed"/>
        <w:tblCellMar>
          <w:top w:w="28" w:type="dxa"/>
          <w:left w:w="28" w:type="dxa"/>
          <w:bottom w:w="28" w:type="dxa"/>
          <w:right w:w="28" w:type="dxa"/>
        </w:tblCellMar>
      </w:tblPr>
      <w:tblGrid>
        <w:gridCol w:w="795"/>
        <w:gridCol w:w="60"/>
        <w:gridCol w:w="8459"/>
        <w:gridCol w:w="58"/>
        <w:gridCol w:w="738"/>
      </w:tblGrid>
      <w:tr>
        <w:trPr>
          <w:trHeight w:val="537"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pPr>
            <w:bookmarkStart w:id="1" w:name="_top"/>
            <w:bookmarkEnd w:id="1"/>
          </w:p>
        </w:tc>
        <w:tc>
          <w:tcPr>
            <w:tcW w:w="8459" w:type="dxa"/>
            <w:tcBorders>
              <w:top w:val="none" w:sz="2" w:space="0" w:color="000000"/>
              <w:left w:val="none" w:sz="2" w:space="0" w:color="000000"/>
              <w:bottom w:val="none" w:sz="2" w:space="0" w:color="000000"/>
              <w:right w:val="none" w:sz="2" w:space="0" w:color="000000"/>
            </w:tcBorders>
            <w:vAlign w:val="center"/>
          </w:tcPr>
          <w:p>
            <w:pPr>
              <w:pStyle w:val="a4"/>
              <w:spacing w:line="22" w:lineRule="atLeast"/>
            </w:pPr>
            <w:r>
              <w:rPr/>
              <w:t>행동 기반 디지털 휴먼 트윈: 게임 플레이 기반 성격 추론 및 개인화 시스템</w:t>
            </w: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256"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863"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a"/>
              <w:jc w:val="center"/>
            </w:pPr>
            <w:r>
              <w:rPr>
                <w:rFonts w:ascii="HCI Poppy" w:eastAsia="HCI Poppy" w:hAnsi="HCI Poppy"/>
              </w:rPr>
              <w:t>유준석*</w:t>
            </w:r>
          </w:p>
          <w:p>
            <w:pPr>
              <w:pStyle w:val="aa"/>
              <w:jc w:val="center"/>
            </w:pPr>
            <w:r>
              <w:rPr>
                <w:rFonts w:ascii="HCI Poppy" w:eastAsia="HCI Poppy" w:hAnsi="HCI Poppy"/>
              </w:rPr>
              <w:t>*한신대학교 공공인재학부</w:t>
            </w:r>
          </w:p>
          <w:p>
            <w:pPr>
              <w:pStyle w:val="a3"/>
              <w:wordWrap/>
              <w:jc w:val="center"/>
              <w:spacing w:line="22" w:lineRule="atLeast"/>
              <w:rPr>
                <w:rFonts w:ascii="신명조" w:eastAsia="신명조" w:hint="eastAsia"/>
                <w:sz w:val="20"/>
              </w:rPr>
            </w:pPr>
            <w:r>
              <w:rPr>
                <w:rFonts w:ascii="HCI Poppy" w:eastAsia="HCI Poppy" w:hAnsi="HCI Poppy"/>
              </w:rPr>
              <w:t>dbwnstjr1973@hs.ac.kr</w:t>
            </w:r>
          </w:p>
          <w:p>
            <w:pPr>
              <w:pStyle w:val="a3"/>
              <w:wordWrap/>
              <w:jc w:val="center"/>
              <w:spacing w:line="22" w:lineRule="atLeast"/>
              <w:rPr>
                <w:rFonts w:ascii="신명조" w:eastAsia="신명조"/>
              </w:rPr>
            </w:pP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256"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259"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9"/>
              <w:spacing w:line="22" w:lineRule="atLeast"/>
              <w:rPr>
                <w:rFonts w:ascii="신명조" w:eastAsia="신명조"/>
              </w:rPr>
            </w:pPr>
            <w:r>
              <w:rPr>
                <w:rFonts w:ascii="신명조" w:eastAsia="신명조" w:hint="eastAsia"/>
                <w:sz w:val="32"/>
              </w:rPr>
              <w:t xml:space="preserve">Behavior-Based Digital Human Twin: A Machine Learning Framework for Personality Inference from Gameplay Data </w:t>
            </w: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52"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608"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a"/>
              <w:spacing w:line="22" w:lineRule="atLeast"/>
              <w:rPr>
                <w:rFonts w:ascii="신명조" w:eastAsia="신명조"/>
              </w:rPr>
            </w:pPr>
            <w:r>
              <w:rPr>
                <w:lang w:eastAsia="ko-KR"/>
                <w:rFonts w:ascii="신명조" w:eastAsia="신명조"/>
                <w:rtl w:val="off"/>
              </w:rPr>
              <w:t>Yoo JunSeok</w:t>
            </w:r>
          </w:p>
          <w:p>
            <w:pPr>
              <w:pStyle w:val="a3"/>
              <w:wordWrap/>
              <w:jc w:val="center"/>
              <w:spacing w:line="22" w:lineRule="atLeast"/>
              <w:rPr>
                <w:rFonts w:ascii="신명조" w:eastAsia="신명조"/>
              </w:rPr>
            </w:pPr>
            <w:r>
              <w:rPr>
                <w:rFonts w:ascii="신명조" w:eastAsia="신명조" w:hint="eastAsia"/>
                <w:vertAlign w:val="superscript"/>
              </w:rPr>
              <w:t>*</w:t>
            </w:r>
            <w:r>
              <w:rPr>
                <w:rFonts w:ascii="신명조" w:eastAsia="신명조" w:hint="eastAsia"/>
              </w:rPr>
              <w:t xml:space="preserve">Department of </w:t>
            </w:r>
            <w:r>
              <w:rPr>
                <w:lang w:eastAsia="ko-KR"/>
                <w:rFonts w:ascii="신명조" w:eastAsia="신명조" w:hint="eastAsia"/>
                <w:rtl w:val="off"/>
              </w:rPr>
              <w:t xml:space="preserve">Public Human resource </w:t>
            </w:r>
            <w:r>
              <w:rPr>
                <w:rFonts w:ascii="신명조" w:eastAsia="신명조" w:hint="eastAsia"/>
              </w:rPr>
              <w:t>Hanshin University</w:t>
            </w:r>
          </w:p>
          <w:p>
            <w:pPr>
              <w:pStyle w:val="a3"/>
              <w:wordWrap/>
              <w:jc w:val="center"/>
              <w:spacing w:line="22" w:lineRule="atLeast"/>
              <w:rPr>
                <w:rFonts w:ascii="신명조" w:eastAsia="신명조"/>
              </w:rPr>
            </w:pPr>
            <w:r>
              <w:rPr>
                <w:rFonts w:ascii="신명조" w:eastAsia="신명조" w:hint="eastAsia"/>
                <w:vertAlign w:val="superscript"/>
              </w:rPr>
              <w:t>**</w:t>
            </w:r>
            <w:r>
              <w:rPr>
                <w:rFonts w:ascii="신명조" w:eastAsia="신명조" w:hint="eastAsia"/>
              </w:rPr>
              <w:t>Department of Creative Writing Hanshin University</w:t>
            </w:r>
          </w:p>
          <w:p>
            <w:pPr>
              <w:pStyle w:val="a3"/>
              <w:wordWrap/>
              <w:jc w:val="center"/>
              <w:spacing w:line="22" w:lineRule="atLeast"/>
              <w:rPr>
                <w:rFonts w:ascii="신명조" w:eastAsia="신명조"/>
              </w:rPr>
            </w:pPr>
            <w:r>
              <w:rPr>
                <w:rFonts w:ascii="신명조" w:eastAsia="신명조" w:hint="eastAsia"/>
                <w:vertAlign w:val="superscript"/>
              </w:rPr>
              <w:t>***</w:t>
            </w:r>
            <w:r>
              <w:rPr>
                <w:rFonts w:ascii="신명조" w:eastAsia="신명조" w:hint="eastAsia"/>
              </w:rPr>
              <w:t>Department of Korean History, Hanshin University</w:t>
            </w: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257" w:hRule="atLeast"/>
        </w:trPr>
        <w:tc>
          <w:tcPr>
            <w:tcW w:w="855"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459"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신명조" w:eastAsia="신명조"/>
              </w:rPr>
            </w:pPr>
          </w:p>
        </w:tc>
        <w:tc>
          <w:tcPr>
            <w:tcW w:w="796" w:type="dxa"/>
            <w:gridSpan w:val="2"/>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991" w:hRule="atLeast"/>
        </w:trPr>
        <w:tc>
          <w:tcPr>
            <w:tcW w:w="795"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b w:val="0"/>
                <w:bCs w:val="0"/>
              </w:rPr>
            </w:pPr>
          </w:p>
        </w:tc>
        <w:tc>
          <w:tcPr>
            <w:tcW w:w="8577" w:type="dxa"/>
            <w:gridSpan w:val="3"/>
            <w:tcBorders>
              <w:top w:val="none" w:sz="2" w:space="0" w:color="000000"/>
              <w:left w:val="none" w:sz="2" w:space="0" w:color="000000"/>
              <w:bottom w:val="none" w:sz="2" w:space="0" w:color="000000"/>
              <w:right w:val="none" w:sz="2" w:space="0" w:color="000000"/>
            </w:tcBorders>
            <w:vAlign w:val="center"/>
          </w:tcPr>
          <w:p>
            <w:pPr>
              <w:pStyle w:val="a3"/>
              <w:wordWrap/>
              <w:jc w:val="center"/>
              <w:spacing w:line="240" w:lineRule="auto"/>
              <w:rPr>
                <w:b w:val="0"/>
                <w:bCs w:val="0"/>
              </w:rPr>
            </w:pPr>
            <w:r>
              <w:rPr>
                <w:rFonts w:ascii="신명 태고딕" w:eastAsia="신명 태고딕"/>
                <w:b w:val="0"/>
                <w:bCs w:val="0"/>
              </w:rPr>
              <w:t>요   약</w:t>
            </w:r>
          </w:p>
          <w:p>
            <w:pPr>
              <w:pStyle w:val="ab"/>
              <w:rPr>
                <w:b w:val="0"/>
                <w:bCs w:val="0"/>
              </w:rPr>
            </w:pPr>
            <w:r>
              <w:rPr>
                <w:rFonts w:ascii="신명조" w:eastAsia="신명조" w:hint="eastAsia"/>
                <w:b w:val="0"/>
                <w:bCs w:val="0"/>
              </w:rPr>
              <w:t xml:space="preserve">  </w:t>
            </w:r>
            <w:r>
              <w:rPr>
                <w:rFonts w:ascii="한양신명조" w:eastAsia="한양신명조" w:hAnsi="한양신명조"/>
                <w:b w:val="0"/>
                <w:bCs w:val="0"/>
                <w:sz w:val="18"/>
              </w:rPr>
              <w:t xml:space="preserve">본 논문은 </w:t>
            </w:r>
            <w:r>
              <w:rPr>
                <w:rFonts w:ascii="한양신명조" w:eastAsia="한양신명조" w:hAnsi="한양신명조"/>
                <w:b w:val="0"/>
                <w:bCs w:val="0"/>
                <w:sz w:val="18"/>
              </w:rPr>
              <w:t>머신러닝 기반 행동 분석</w:t>
            </w:r>
            <w:r>
              <w:rPr>
                <w:rFonts w:ascii="한양신명조" w:eastAsia="한양신명조" w:hAnsi="한양신명조"/>
                <w:b w:val="0"/>
                <w:bCs w:val="0"/>
                <w:sz w:val="18"/>
              </w:rPr>
              <w:t xml:space="preserve">을 통해 사용자의 성격 특성을 자동으로 추론하고 지속적으로 학습하는 </w:t>
            </w:r>
            <w:r>
              <w:rPr>
                <w:rFonts w:ascii="한양신명조" w:eastAsia="한양신명조" w:hAnsi="한양신명조"/>
                <w:b w:val="0"/>
                <w:bCs w:val="0"/>
                <w:sz w:val="18"/>
              </w:rPr>
              <w:t>디지털 휴먼 트윈</w:t>
            </w:r>
            <w:r>
              <w:rPr>
                <w:rFonts w:ascii="한양신명조" w:eastAsia="한양신명조" w:hAnsi="한양신명조"/>
                <w:b w:val="0"/>
                <w:bCs w:val="0"/>
                <w:sz w:val="18"/>
              </w:rPr>
              <w:t xml:space="preserve"> 시스템을 제안한다. 기존의 명시적 설문지 기반 성격 평가의 한계를 극복하기 위해, </w:t>
            </w:r>
            <w:r>
              <w:rPr>
                <w:rFonts w:ascii="한양신명조" w:eastAsia="한양신명조" w:hAnsi="한양신명조"/>
                <w:b w:val="0"/>
                <w:bCs w:val="0"/>
                <w:sz w:val="18"/>
              </w:rPr>
              <w:t>암묵적 행동 신호(마우스 움직임, 의사결정 지연시간 등)</w:t>
            </w:r>
            <w:r>
              <w:rPr>
                <w:rFonts w:ascii="한양신명조" w:eastAsia="한양신명조" w:hAnsi="한양신명조"/>
                <w:b w:val="0"/>
                <w:bCs w:val="0"/>
                <w:sz w:val="18"/>
              </w:rPr>
              <w:t xml:space="preserve">를 특징으로 추출하여 </w:t>
            </w:r>
            <w:r>
              <w:rPr>
                <w:rFonts w:ascii="한양신명조" w:eastAsia="한양신명조" w:hAnsi="한양신명조"/>
                <w:b w:val="0"/>
                <w:bCs w:val="0"/>
                <w:sz w:val="18"/>
              </w:rPr>
              <w:t>4차원 성격 가중치(Logic, Intuition, Fluidity, Complexity)</w:t>
            </w:r>
            <w:r>
              <w:rPr>
                <w:rFonts w:ascii="한양신명조" w:eastAsia="한양신명조" w:hAnsi="한양신명조"/>
                <w:b w:val="0"/>
                <w:bCs w:val="0"/>
                <w:sz w:val="18"/>
              </w:rPr>
              <w:t>를 예측하는 머신러닝 모델을 개발하였다.</w:t>
            </w:r>
          </w:p>
          <w:p>
            <w:pPr>
              <w:pStyle w:val="ab"/>
              <w:rPr>
                <w:b w:val="0"/>
                <w:bCs w:val="0"/>
              </w:rPr>
            </w:pPr>
            <w:r>
              <w:rPr>
                <w:rFonts w:ascii="한양신명조" w:eastAsia="한양신명조" w:hAnsi="한양신명조"/>
                <w:b w:val="0"/>
                <w:bCs w:val="0"/>
                <w:sz w:val="18"/>
              </w:rPr>
              <w:t xml:space="preserve">본 연구의 핵심 기여는 </w:t>
            </w:r>
            <w:r>
              <w:rPr>
                <w:rFonts w:ascii="한양신명조" w:eastAsia="한양신명조" w:hAnsi="한양신명조"/>
                <w:b w:val="0"/>
                <w:bCs w:val="0"/>
                <w:sz w:val="18"/>
              </w:rPr>
              <w:t>게임 플레이 데이터를 통한 성격 추론</w:t>
            </w:r>
            <w:r>
              <w:rPr>
                <w:rFonts w:ascii="한양신명조" w:eastAsia="한양신명조" w:hAnsi="한양신명조"/>
                <w:b w:val="0"/>
                <w:bCs w:val="0"/>
                <w:sz w:val="18"/>
              </w:rPr>
              <w:t xml:space="preserve">이다. 마인크래프트, 스타듀밸리, 두근두근타운 등 다양한 게임에서 수집한 행동 데이터를 통합하여 사용자의 성격 프로필을 구축하고, 이를 바탕으로 </w:t>
            </w:r>
            <w:r>
              <w:rPr>
                <w:rFonts w:ascii="한양신명조" w:eastAsia="한양신명조" w:hAnsi="한양신명조"/>
                <w:b w:val="0"/>
                <w:bCs w:val="0"/>
                <w:sz w:val="18"/>
              </w:rPr>
              <w:t>적응형 게임 경험</w:t>
            </w:r>
            <w:r>
              <w:rPr>
                <w:rFonts w:ascii="한양신명조" w:eastAsia="한양신명조" w:hAnsi="한양신명조"/>
                <w:b w:val="0"/>
                <w:bCs w:val="0"/>
                <w:sz w:val="18"/>
              </w:rPr>
              <w:t xml:space="preserve">, </w:t>
            </w:r>
            <w:r>
              <w:rPr>
                <w:rFonts w:ascii="한양신명조" w:eastAsia="한양신명조" w:hAnsi="한양신명조"/>
                <w:b w:val="0"/>
                <w:bCs w:val="0"/>
                <w:sz w:val="18"/>
              </w:rPr>
              <w:t>게임 추천 시스템</w:t>
            </w:r>
            <w:r>
              <w:rPr>
                <w:rFonts w:ascii="한양신명조" w:eastAsia="한양신명조" w:hAnsi="한양신명조"/>
                <w:b w:val="0"/>
                <w:bCs w:val="0"/>
                <w:sz w:val="18"/>
              </w:rPr>
              <w:t xml:space="preserve">, </w:t>
            </w:r>
            <w:r>
              <w:rPr>
                <w:rFonts w:ascii="한양신명조" w:eastAsia="한양신명조" w:hAnsi="한양신명조"/>
                <w:b w:val="0"/>
                <w:bCs w:val="0"/>
                <w:sz w:val="18"/>
              </w:rPr>
              <w:t>소셜 매칭</w:t>
            </w:r>
            <w:r>
              <w:rPr>
                <w:rFonts w:ascii="한양신명조" w:eastAsia="한양신명조" w:hAnsi="한양신명조"/>
                <w:b w:val="0"/>
                <w:bCs w:val="0"/>
                <w:sz w:val="18"/>
              </w:rPr>
              <w:t xml:space="preserve"> 등 다양한 개인화 서비스를 제공한다.</w:t>
            </w:r>
          </w:p>
          <w:p>
            <w:pPr>
              <w:pStyle w:val="ab"/>
              <w:rPr>
                <w:b w:val="0"/>
                <w:bCs w:val="0"/>
              </w:rPr>
            </w:pPr>
            <w:r>
              <w:rPr>
                <w:rFonts w:ascii="한양신명조" w:eastAsia="한양신명조" w:hAnsi="한양신명조"/>
                <w:b w:val="0"/>
                <w:bCs w:val="0"/>
                <w:sz w:val="18"/>
              </w:rPr>
              <w:t xml:space="preserve">본 시스템의 핵심 AI/ML 기법은 다음과 같다: (1) </w:t>
            </w:r>
            <w:r>
              <w:rPr>
                <w:rFonts w:ascii="한양신명조" w:eastAsia="한양신명조" w:hAnsi="한양신명조"/>
                <w:b w:val="0"/>
                <w:bCs w:val="0"/>
                <w:sz w:val="18"/>
              </w:rPr>
              <w:t>랜덤 포레스트 회귀 모델</w:t>
            </w:r>
            <w:r>
              <w:rPr>
                <w:rFonts w:ascii="한양신명조" w:eastAsia="한양신명조" w:hAnsi="한양신명조"/>
                <w:b w:val="0"/>
                <w:bCs w:val="0"/>
                <w:sz w:val="18"/>
              </w:rPr>
              <w:t xml:space="preserve">을 통한 성격 가중치 예측, (2) </w:t>
            </w:r>
            <w:r>
              <w:rPr>
                <w:rFonts w:ascii="한양신명조" w:eastAsia="한양신명조" w:hAnsi="한양신명조"/>
                <w:b w:val="0"/>
                <w:bCs w:val="0"/>
                <w:sz w:val="18"/>
              </w:rPr>
              <w:t>온라인 학습 알고리즘(Exponential Moving Average)</w:t>
            </w:r>
            <w:r>
              <w:rPr>
                <w:rFonts w:ascii="한양신명조" w:eastAsia="한양신명조" w:hAnsi="한양신명조"/>
                <w:b w:val="0"/>
                <w:bCs w:val="0"/>
                <w:sz w:val="18"/>
              </w:rPr>
              <w:t xml:space="preserve">을 통한 세션 간 모델 적응, (3) </w:t>
            </w:r>
            <w:r>
              <w:rPr>
                <w:rFonts w:ascii="한양신명조" w:eastAsia="한양신명조" w:hAnsi="한양신명조"/>
                <w:b w:val="0"/>
                <w:bCs w:val="0"/>
                <w:sz w:val="18"/>
              </w:rPr>
              <w:t>시계열 예측 모델(선형 회귀)</w:t>
            </w:r>
            <w:r>
              <w:rPr>
                <w:rFonts w:ascii="한양신명조" w:eastAsia="한양신명조" w:hAnsi="한양신명조"/>
                <w:b w:val="0"/>
                <w:bCs w:val="0"/>
                <w:sz w:val="18"/>
              </w:rPr>
              <w:t xml:space="preserve">을 통한 미래 행동 패턴 예측, (4) </w:t>
            </w:r>
            <w:r>
              <w:rPr>
                <w:rFonts w:ascii="한양신명조" w:eastAsia="한양신명조" w:hAnsi="한양신명조"/>
                <w:b w:val="0"/>
                <w:bCs w:val="0"/>
                <w:sz w:val="18"/>
              </w:rPr>
              <w:t>통계적 이상 감지 알고리즘</w:t>
            </w:r>
            <w:r>
              <w:rPr>
                <w:rFonts w:ascii="한양신명조" w:eastAsia="한양신명조" w:hAnsi="한양신명조"/>
                <w:b w:val="0"/>
                <w:bCs w:val="0"/>
                <w:sz w:val="18"/>
              </w:rPr>
              <w:t xml:space="preserve">을 통한 스트레스 및 비정상 행동 감지, (5) </w:t>
            </w:r>
            <w:r>
              <w:rPr>
                <w:rFonts w:ascii="한양신명조" w:eastAsia="한양신명조" w:hAnsi="한양신명조"/>
                <w:b w:val="0"/>
                <w:bCs w:val="0"/>
                <w:sz w:val="18"/>
              </w:rPr>
              <w:t>문화적 편향 완화</w:t>
            </w:r>
            <w:r>
              <w:rPr>
                <w:rFonts w:ascii="한양신명조" w:eastAsia="한양신명조" w:hAnsi="한양신명조"/>
                <w:b w:val="0"/>
                <w:bCs w:val="0"/>
                <w:sz w:val="18"/>
              </w:rPr>
              <w:t xml:space="preserve">를 위한 가중치 보정 프레임워크, (6) </w:t>
            </w:r>
            <w:r>
              <w:rPr>
                <w:rFonts w:ascii="한양신명조" w:eastAsia="한양신명조" w:hAnsi="한양신명조"/>
                <w:b w:val="0"/>
                <w:bCs w:val="0"/>
                <w:sz w:val="18"/>
              </w:rPr>
              <w:t>게임별 특화 메트릭 처리</w:t>
            </w:r>
            <w:r>
              <w:rPr>
                <w:rFonts w:ascii="한양신명조" w:eastAsia="한양신명조" w:hAnsi="한양신명조"/>
                <w:b w:val="0"/>
                <w:bCs w:val="0"/>
                <w:sz w:val="18"/>
              </w:rPr>
              <w:t>를 통한 크로스 게임 프로필 통합.</w:t>
            </w:r>
            <w:r>
              <w:rPr>
                <w:lang w:eastAsia="ko-KR"/>
                <w:rFonts w:ascii="한양신명조" w:eastAsia="한양신명조" w:hAnsi="한양신명조"/>
                <w:b w:val="0"/>
                <w:bCs w:val="0"/>
                <w:sz w:val="18"/>
                <w:rtl w:val="off"/>
              </w:rPr>
              <w:t xml:space="preserve"> </w:t>
            </w:r>
            <w:r>
              <w:rPr>
                <w:rFonts w:ascii="한양신명조" w:eastAsia="한양신명조" w:hAnsi="한양신명조"/>
                <w:b w:val="0"/>
                <w:bCs w:val="0"/>
                <w:sz w:val="18"/>
              </w:rPr>
              <w:t>실제 구현 결과, 랜덤 포레스트 모델을 사용하여 평균 5-10회 세션 후 65-75% 수준의 신뢰도로 성격 프로필을 추론할 수 있었으며, 게임 플레이 데이터를 통한 성격 추론이 가능함을 입증하였다. 또한 여러 게임에서 수집한 데이터를 통합하여 종합적인 성격 프로필을 생성하고, 이를 바탕으로 개인화된 게임 경험을 제공할 수 있음을 보여주었다.</w:t>
            </w:r>
            <w:r>
              <w:rPr>
                <w:lang w:eastAsia="ko-KR"/>
                <w:rFonts w:ascii="한양신명조" w:eastAsia="한양신명조" w:hAnsi="한양신명조"/>
                <w:b w:val="0"/>
                <w:bCs w:val="0"/>
                <w:sz w:val="18"/>
                <w:rtl w:val="off"/>
              </w:rPr>
              <w:t xml:space="preserve"> </w:t>
            </w:r>
            <w:r>
              <w:rPr>
                <w:rFonts w:ascii="한양신명조" w:eastAsia="한양신명조" w:hAnsi="한양신명조"/>
                <w:b w:val="0"/>
                <w:bCs w:val="0"/>
                <w:sz w:val="18"/>
              </w:rPr>
              <w:t>OpenDota API를 통해 실제 Dota 2 매치 데이터를 수집하고, 우리 파이프라인에 성공적으로 통합하여 실제 게임 환경에서의 동작을 검증하였다.</w:t>
            </w:r>
          </w:p>
          <w:p>
            <w:pPr>
              <w:pStyle w:val="ab"/>
              <w:wordWrap/>
              <w:spacing w:line="240" w:lineRule="auto"/>
              <w:rPr>
                <w:rFonts w:ascii="신명조" w:eastAsia="신명조" w:hint="eastAsia"/>
                <w:b w:val="0"/>
                <w:bCs w:val="0"/>
              </w:rPr>
            </w:pPr>
          </w:p>
        </w:tc>
        <w:tc>
          <w:tcPr>
            <w:tcW w:w="738"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r>
        <w:trPr>
          <w:trHeight w:val="256" w:hRule="atLeast"/>
        </w:trPr>
        <w:tc>
          <w:tcPr>
            <w:tcW w:w="795"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8577" w:type="dxa"/>
            <w:gridSpan w:val="3"/>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c>
          <w:tcPr>
            <w:tcW w:w="738" w:type="dxa"/>
            <w:tcBorders>
              <w:top w:val="none" w:sz="2" w:space="0" w:color="000000"/>
              <w:left w:val="none" w:sz="2" w:space="0" w:color="000000"/>
              <w:bottom w:val="none" w:sz="2" w:space="0" w:color="000000"/>
              <w:right w:val="none" w:sz="2" w:space="0" w:color="000000"/>
            </w:tcBorders>
            <w:vAlign w:val="center"/>
          </w:tcPr>
          <w:p>
            <w:pPr>
              <w:pStyle w:val="a3"/>
              <w:wordWrap/>
              <w:spacing w:line="22" w:lineRule="atLeast"/>
              <w:rPr>
                <w:rFonts w:ascii="Times New Roman"/>
              </w:rPr>
            </w:pPr>
          </w:p>
        </w:tc>
      </w:tr>
    </w:tbl>
    <w:p>
      <w:pPr>
        <w:pStyle w:val="1"/>
        <w:wordWrap/>
        <w:spacing w:line="264" w:lineRule="auto"/>
      </w:pPr>
      <w:r>
        <w:rPr>
          <w:sz w:val="18"/>
        </w:rPr>
        <w:t xml:space="preserve">1. 서 론 </w:t>
      </w:r>
    </w:p>
    <w:p>
      <w:pPr>
        <w:rPr>
          <w:rFonts w:ascii="한컴 고딕" w:eastAsia="한컴 고딕" w:hAnsi="한컴 고딕" w:cs="한컴 고딕" w:hint="default"/>
          <w:u w:color="auto"/>
        </w:rPr>
      </w:pPr>
      <w:r>
        <w:rPr>
          <w:rFonts w:ascii="한컴 고딕" w:eastAsia="한컴 고딕" w:hAnsi="한컴 고딕" w:cs="한컴 고딕" w:hint="default"/>
          <w:u w:color="auto"/>
        </w:rPr>
        <w:t>최근 디지털 트윈 기술은 물리적 객체의 복제를 넘어 인간의 행동 패턴과 심리적 특성을 반영하는 '디지털 휴먼 트윈' 영역으로 확장되고 있다. 특히 게임 산업에서는 유저의 몰입감을 극대화하기 위해 개개인의 성향에 맞춘 콘텐츠 제공이 필수적이다.</w:t>
      </w:r>
    </w:p>
    <w:p>
      <w:pPr>
        <w:rPr>
          <w:rFonts w:ascii="한컴 고딕" w:eastAsia="한컴 고딕" w:hAnsi="한컴 고딕" w:cs="한컴 고딕" w:hint="default"/>
          <w:u w:color="auto"/>
        </w:rPr>
      </w:pPr>
    </w:p>
    <w:p>
      <w:pPr>
        <w:rPr>
          <w:rFonts w:ascii="한컴 고딕" w:eastAsia="한컴 고딕" w:hAnsi="한컴 고딕" w:cs="한컴 고딕" w:hint="default"/>
          <w:u w:color="auto"/>
        </w:rPr>
      </w:pPr>
      <w:r>
        <w:rPr>
          <w:rFonts w:ascii="한컴 고딕" w:eastAsia="한컴 고딕" w:hAnsi="한컴 고딕" w:cs="한컴 고딕" w:hint="default"/>
          <w:u w:color="auto"/>
        </w:rPr>
        <w:t>기존 연구에서의 성격 평가는 주로 MBTI나 Big 5와 같은 설문 방식에 의존하였으나, 이는 사용자의 의도적인 왜곡 가능성이 존재하며 실시간으로 변화하는 심리 상태를 반영하기 어렵다. 이에 본 연구에서는 유저가 인지하지 못하는 사이 발생하는 미세한 행동 데이터(마우스 움직임, 의사결정 지연시간 등)를 분석하여, 보다 객관적이고 동적인 성격 추론 프레임워크를 구축하고자 한다.</w:t>
      </w:r>
    </w:p>
    <w:p>
      <w:pPr>
        <w:pStyle w:val="1"/>
        <w:wordWrap/>
        <w:spacing w:line="264" w:lineRule="auto"/>
        <w:rPr>
          <w:lang w:eastAsia="ko-KR"/>
          <w:rFonts w:hint="eastAsia"/>
          <w:sz w:val="18"/>
          <w:rtl w:val="off"/>
        </w:rPr>
      </w:pPr>
      <w:r>
        <w:rPr>
          <w:sz w:val="18"/>
        </w:rPr>
        <w:t>2. 선행 연구</w:t>
      </w:r>
    </w:p>
    <w:p>
      <w:pPr>
        <w:rPr>
          <w:b w:val="0"/>
        </w:rPr>
      </w:pPr>
      <w:r>
        <w:rPr/>
        <w:t>2.1 기존 성격 평가 모델의 통계적 한계</w:t>
      </w:r>
      <w:r>
        <w:rPr/>
        <w:t>전통적인 성격 진단 방식은 자기기입식 설문법을 채택한다. 이는 데이터 수집이 용이하나, 응답자가 사회적으로 바람직해 보이는 선택지를 고르는 '사회적 민감도 편향'에서 자유로울 수 없다. 또한, 게임 환경과 같이 고도의 집중력을 요구하는 상황에서 설문은 유저의 흐름을 끊는 부정적인 사용자 경험(UX)을 초래한다.</w:t>
      </w:r>
    </w:p>
    <w:p>
      <w:pPr>
        <w:rPr>
          <w:b w:val="0"/>
        </w:rPr>
      </w:pPr>
      <w:r>
        <w:rPr/>
        <w:t>2.2 게임 데이터를 활용한 행동 분석 추세</w:t>
      </w:r>
      <w:r>
        <w:rPr/>
        <w:t>최근 10대들 사이에서 위치 공유 시스템이나 실시간 소통 시스템이 인기를 얻는 것과 같이, 디지털 환경에서의 행동 데이터는 개인의 성향을 나타내는 중요한 지표가 된다. 특히 지도 앱이나 위치 기반 서비스에 익숙한 세대는 자신의 행동 로그가 디지털 환경에 남는 것에 거부감이 적으며, 이는 양질의 행동 데이터 수집을 가능하게 한다.</w:t>
      </w:r>
    </w:p>
    <w:p>
      <w:pPr>
        <w:rPr>
          <w:b w:val="0"/>
        </w:rPr>
      </w:pPr>
      <w:r>
        <w:rPr/>
        <w:t>2.3 데이터 전처리 및 시각화 기법</w:t>
      </w:r>
      <w:r>
        <w:rPr/>
        <w:t xml:space="preserve">대규모 행동 데이터를 처리하기 위해 기존 연구들에서는 </w:t>
      </w:r>
      <w:r>
        <w:rPr/>
        <w:t>Groupby</w:t>
      </w:r>
      <w:r>
        <w:rPr/>
        <w:t xml:space="preserve">메소드를 통한 지역별/유형별 통계 파악 및 </w:t>
      </w:r>
      <w:r>
        <w:rPr/>
        <w:t>concat</w:t>
      </w:r>
      <w:r>
        <w:rPr/>
        <w:t>메소드를 이용한 데이터프레임 통합 방식을 활용해 왔다. 이러한 정량적 분석 기법은 본 연구에서 게임별 특화 메트릭을 통합하고 크로스 게임 프로필을 생성하는 기술적 토대가 된다.</w:t>
      </w:r>
    </w:p>
    <w:p>
      <w:pPr>
        <w:pStyle w:val="1"/>
        <w:wordWrap/>
        <w:spacing w:line="264" w:lineRule="auto"/>
      </w:pPr>
    </w:p>
    <w:p>
      <w:pPr>
        <w:pStyle w:val="a3"/>
        <w:wordWrap/>
        <w:spacing w:line="264" w:lineRule="auto"/>
      </w:pPr>
    </w:p>
    <w:p>
      <w:pPr>
        <w:pStyle w:val="1"/>
        <w:wordWrap/>
        <w:spacing w:line="264" w:lineRule="auto"/>
      </w:pPr>
      <w:r>
        <w:rPr>
          <w:sz w:val="18"/>
        </w:rPr>
        <w:t>3. 실험 및 결과</w:t>
      </w:r>
    </w:p>
    <w:p>
      <w:pPr>
        <w:spacing w:before="0"/>
        <w:rPr>
          <w:lang w:eastAsia="ko-KR"/>
          <w:rFonts w:hint="eastAsia"/>
          <w:rtl w:val="off"/>
        </w:rPr>
      </w:pPr>
      <w:r>
        <w:rPr>
          <w:spacing w:val="-2"/>
        </w:rPr>
        <w:t xml:space="preserve"> </w:t>
      </w:r>
      <w:r>
        <w:rPr/>
        <w:t>3.1 4차원 성격 가중치 모델링</w:t>
      </w:r>
      <w:r>
        <w:rPr>
          <w:lang w:eastAsia="ko-KR"/>
          <w:rtl w:val="off"/>
        </w:rPr>
        <w:t>.</w:t>
      </w:r>
    </w:p>
    <w:p>
      <w:pPr>
        <w:spacing w:before="0"/>
        <w:rPr>
          <w:lang w:eastAsia="ko-KR"/>
          <w:rFonts w:ascii="Google Sans Text" w:eastAsia="Google Sans Text" w:hAnsi="Google Sans Text" w:cs="Google Sans Text" w:hint="eastAsia"/>
          <w:b w:val="0"/>
          <w:rtl w:val="off"/>
        </w:rPr>
      </w:pPr>
      <w:r>
        <w:rPr/>
        <w:t>본 연구에서는 유저의 행동을 수치화하기 위해 다음과 같은 4차원 성격 가중치(</w:t>
      </w:r>
      <w:r>
        <w:rPr>
          <w:rFonts w:ascii="Google Sans Text" w:eastAsia="Google Sans Text" w:hAnsi="Google Sans Text" w:cs="Google Sans Text"/>
          <w:b w:val="0"/>
        </w:rPr>
        <w:t>Weight</w:t>
      </w:r>
      <w:r>
        <w:rPr>
          <w:lang w:eastAsia="ko-KR"/>
          <w:rFonts w:ascii="Google Sans Text" w:eastAsia="Google Sans Text" w:hAnsi="Google Sans Text" w:cs="Google Sans Text"/>
          <w:b w:val="0"/>
          <w:rtl w:val="off"/>
        </w:rPr>
        <w:t>s</w:t>
      </w:r>
      <w:r>
        <w:rPr>
          <w:rFonts w:ascii="Google Sans Text" w:eastAsia="Google Sans Text" w:hAnsi="Google Sans Text" w:cs="Google Sans Text"/>
          <w:b w:val="0"/>
        </w:rPr>
        <w:t>)를 정의한다.</w:t>
      </w:r>
    </w:p>
    <w:p>
      <w:pPr>
        <w:pStyle w:val="affff"/>
        <w:rPr>
          <w:lang w:eastAsia="ko-KR"/>
          <w:rFonts w:hint="eastAsia"/>
          <w:rtl w:val="off"/>
        </w:rPr>
      </w:pPr>
    </w:p>
    <w:p>
      <w:pPr>
        <w:pStyle w:val="a"/>
        <w:rPr>
          <w:lang w:eastAsia="ko-KR"/>
          <w:rFonts w:hint="eastAsia"/>
          <w:rtl w:val="off"/>
        </w:rPr>
      </w:pPr>
    </w:p>
    <w:p>
      <w:pPr>
        <w:pStyle w:val="a"/>
        <w:rPr>
          <w:lang w:eastAsia="ko-KR"/>
          <w:rFonts w:hint="eastAsia"/>
          <w:rtl w:val="off"/>
        </w:rPr>
      </w:pPr>
    </w:p>
    <w:p>
      <w:pPr>
        <w:pStyle w:val="a"/>
      </w:pPr>
    </w:p>
    <w:p>
      <w:pPr>
        <w:pStyle w:val="affff"/>
        <w:jc w:val="center"/>
        <w:rPr>
          <w:sz w:val="18"/>
          <w:szCs w:val="18"/>
        </w:rPr>
      </w:pPr>
      <w:r>
        <w:rPr>
          <w:lang w:eastAsia="ko-KR"/>
          <w:rtl w:val="off"/>
        </w:rPr>
        <w:t>&lt;</w:t>
      </w:r>
      <w:r>
        <w:t xml:space="preserve">표 </w:t>
      </w:r>
      <w:r>
        <w:rPr>
          <w:lang w:eastAsia="ko-KR"/>
          <w:rtl w:val="off"/>
        </w:rPr>
        <w:t>1&gt;</w:t>
      </w:r>
      <w:r>
        <w:rPr>
          <w:lang w:eastAsia="ko-KR"/>
          <w:sz w:val="18"/>
          <w:szCs w:val="18"/>
          <w:rtl w:val="off"/>
        </w:rPr>
        <w:t>가중치 모델링</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1511"/>
        <w:gridCol w:w="2111"/>
        <w:gridCol w:w="1811"/>
      </w:tblGrid>
      <w:tr>
        <w:trPr/>
        <w:tc>
          <w:tcPr>
            <w:tcW w:w="15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 xml:space="preserve">항목 </w:t>
            </w:r>
          </w:p>
        </w:tc>
        <w:tc>
          <w:tcPr>
            <w:tcW w:w="21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정의 및 특징</w:t>
            </w:r>
          </w:p>
        </w:tc>
        <w:tc>
          <w:tcPr>
            <w:tcW w:w="18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분석 지표</w:t>
            </w:r>
          </w:p>
        </w:tc>
      </w:tr>
      <w:tr>
        <w:trPr/>
        <w:tc>
          <w:tcPr>
            <w:tcW w:w="15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lang w:eastAsia="ko-KR"/>
                <w:rFonts w:ascii="Google Sans Text" w:eastAsia="Google Sans Text" w:hAnsi="Google Sans Text" w:cs="Google Sans Text" w:hint="eastAsia"/>
                <w:sz w:val="18"/>
                <w:szCs w:val="18"/>
                <w:rtl w:val="off"/>
              </w:rPr>
            </w:pPr>
            <w:r>
              <w:rPr>
                <w:rFonts w:ascii="Google Sans Text" w:eastAsia="Google Sans Text" w:hAnsi="Google Sans Text" w:cs="Google Sans Text"/>
                <w:sz w:val="18"/>
                <w:szCs w:val="18"/>
              </w:rPr>
              <w:t>Logic</w:t>
            </w:r>
          </w:p>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 xml:space="preserve"> (논리성)</w:t>
            </w:r>
          </w:p>
        </w:tc>
        <w:tc>
          <w:tcPr>
            <w:tcW w:w="21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전략적 판단 및 효율적 경로 선택의 일관성</w:t>
            </w:r>
          </w:p>
        </w:tc>
        <w:tc>
          <w:tcPr>
            <w:tcW w:w="18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최단 경로 이동 확률, 자원 소모 효율</w:t>
            </w:r>
          </w:p>
        </w:tc>
      </w:tr>
      <w:tr>
        <w:trPr/>
        <w:tc>
          <w:tcPr>
            <w:tcW w:w="15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lang w:eastAsia="ko-KR"/>
                <w:rFonts w:ascii="Google Sans Text" w:eastAsia="Google Sans Text" w:hAnsi="Google Sans Text" w:cs="Google Sans Text" w:hint="eastAsia"/>
                <w:sz w:val="18"/>
                <w:szCs w:val="18"/>
                <w:rtl w:val="off"/>
              </w:rPr>
            </w:pPr>
            <w:r>
              <w:rPr>
                <w:rFonts w:ascii="Google Sans Text" w:eastAsia="Google Sans Text" w:hAnsi="Google Sans Text" w:cs="Google Sans Text"/>
                <w:sz w:val="18"/>
                <w:szCs w:val="18"/>
              </w:rPr>
              <w:t xml:space="preserve">Intuition </w:t>
            </w:r>
          </w:p>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(직관성)</w:t>
            </w:r>
          </w:p>
        </w:tc>
        <w:tc>
          <w:tcPr>
            <w:tcW w:w="21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즉각적인 반응 및 경험적 선택의 경향성</w:t>
            </w:r>
          </w:p>
        </w:tc>
        <w:tc>
          <w:tcPr>
            <w:tcW w:w="18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이벤트 발생 시 반응 속도, 탐험 빈도</w:t>
            </w:r>
          </w:p>
        </w:tc>
      </w:tr>
      <w:tr>
        <w:trPr/>
        <w:tc>
          <w:tcPr>
            <w:tcW w:w="15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lang w:eastAsia="ko-KR"/>
                <w:rFonts w:ascii="Google Sans Text" w:eastAsia="Google Sans Text" w:hAnsi="Google Sans Text" w:cs="Google Sans Text" w:hint="eastAsia"/>
                <w:sz w:val="18"/>
                <w:szCs w:val="18"/>
                <w:rtl w:val="off"/>
              </w:rPr>
            </w:pPr>
            <w:r>
              <w:rPr>
                <w:rFonts w:ascii="Google Sans Text" w:eastAsia="Google Sans Text" w:hAnsi="Google Sans Text" w:cs="Google Sans Text"/>
                <w:sz w:val="18"/>
                <w:szCs w:val="18"/>
              </w:rPr>
              <w:t xml:space="preserve">Fluidity </w:t>
            </w:r>
          </w:p>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(유연성)</w:t>
            </w:r>
          </w:p>
        </w:tc>
        <w:tc>
          <w:tcPr>
            <w:tcW w:w="21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상황 변화에 따른 전략 수정 및 적응력</w:t>
            </w:r>
          </w:p>
        </w:tc>
        <w:tc>
          <w:tcPr>
            <w:tcW w:w="18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실패 후 전략 변경 시간, 도구 교체율</w:t>
            </w:r>
          </w:p>
        </w:tc>
      </w:tr>
      <w:tr>
        <w:trPr/>
        <w:tc>
          <w:tcPr>
            <w:tcW w:w="15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Complexity (복잡성)</w:t>
            </w:r>
          </w:p>
        </w:tc>
        <w:tc>
          <w:tcPr>
            <w:tcW w:w="21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조작의 정교함 및 다중 작업 수행 능력</w:t>
            </w:r>
          </w:p>
        </w:tc>
        <w:tc>
          <w:tcPr>
            <w:tcW w:w="1811"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분당 행동 수(APM), 복합 키 입력 빈도</w:t>
            </w:r>
          </w:p>
        </w:tc>
      </w:tr>
    </w:tbl>
    <w:p>
      <w:pPr>
        <w:pStyle w:val="affff"/>
        <w:jc w:val="center"/>
        <w:rPr/>
      </w:pPr>
    </w:p>
    <w:p>
      <w:pPr>
        <w:spacing w:before="0"/>
        <w:rPr/>
      </w:pPr>
      <w:r>
        <w:rPr/>
        <w:t>3.2 핵심 알고리즘 및 구현 기술</w:t>
      </w:r>
    </w:p>
    <w:p>
      <w:pPr>
        <w:spacing w:before="0"/>
        <w:rPr/>
      </w:pPr>
      <w:r>
        <w:rPr/>
        <w:t>시스템의 핵심 AI/ML 기술 스택은 다음과 같이 구성된다.</w:t>
      </w:r>
    </w:p>
    <w:p>
      <w:pPr>
        <w:jc w:val="left"/>
        <w:spacing w:before="0"/>
        <w:rPr/>
      </w:pPr>
      <w:r>
        <w:rPr>
          <w:lang w:eastAsia="ko-KR"/>
          <w:rtl w:val="off"/>
        </w:rPr>
        <w:t xml:space="preserve"> 1. </w:t>
      </w:r>
      <w:r>
        <w:rPr/>
        <w:t>랜덤 포레스트 회귀 (Random Forest Regression):</w:t>
      </w:r>
      <w:r>
        <w:rPr/>
        <w:t>행동 특징을 입력값으로 하여 성격 가중치를 도출하는 주 모델이다.</w:t>
      </w:r>
    </w:p>
    <w:p>
      <w:pPr>
        <w:jc w:val="left"/>
        <w:spacing w:before="0"/>
        <w:rPr/>
      </w:pPr>
      <w:r>
        <w:rPr>
          <w:lang w:eastAsia="ko-KR"/>
          <w:rtl w:val="off"/>
        </w:rPr>
        <w:t xml:space="preserve"> 2. </w:t>
      </w:r>
      <w:r>
        <w:rPr/>
        <w:t>온라인 학습 (EMA):</w:t>
      </w:r>
      <w:r>
        <w:rPr>
          <w:rFonts w:ascii="Google Sans Text" w:eastAsia="Google Sans Text" w:hAnsi="Google Sans Text" w:cs="Google Sans Text"/>
          <w:b w:val="0"/>
        </w:rPr>
        <w:t>$Exponential Moving Average$</w:t>
      </w:r>
      <w:r>
        <w:rPr>
          <w:rFonts w:ascii="Google Sans Text" w:eastAsia="Google Sans Text" w:hAnsi="Google Sans Text" w:cs="Google Sans Text"/>
          <w:b w:val="0"/>
        </w:rPr>
        <w:t>를 적용하여 세션 간 모델을 실시간으로 적응시키고 유저의 변화하는 패턴을 반영한다.</w:t>
      </w:r>
    </w:p>
    <w:p>
      <w:pPr>
        <w:jc w:val="left"/>
        <w:spacing w:before="0"/>
        <w:rPr/>
      </w:pPr>
      <w:r>
        <w:rPr>
          <w:lang w:eastAsia="ko-KR"/>
          <w:rFonts w:ascii="Google Sans Text" w:eastAsia="Google Sans Text" w:hAnsi="Google Sans Text" w:cs="Google Sans Text"/>
          <w:b w:val="0"/>
          <w:rtl w:val="off"/>
        </w:rPr>
        <w:t xml:space="preserve"> 3. </w:t>
      </w:r>
      <w:r>
        <w:rPr>
          <w:rFonts w:ascii="Google Sans Text" w:eastAsia="Google Sans Text" w:hAnsi="Google Sans Text" w:cs="Google Sans Text"/>
          <w:b w:val="0"/>
        </w:rPr>
        <w:t>시계열 예측 모델:</w:t>
      </w:r>
      <w:r>
        <w:rPr>
          <w:rFonts w:ascii="Google Sans Text" w:eastAsia="Google Sans Text" w:hAnsi="Google Sans Text" w:cs="Google Sans Text"/>
          <w:b w:val="0"/>
        </w:rPr>
        <w:t>선형 회귀를 통해 과거 세션 데이터를 분석하고 유저의 차기 행동 패턴을 예측한다.</w:t>
      </w:r>
    </w:p>
    <w:p>
      <w:pPr>
        <w:jc w:val="left"/>
        <w:spacing w:before="0"/>
        <w:rPr>
          <w:b w:val="0"/>
        </w:rPr>
      </w:pPr>
      <w:r>
        <w:rPr>
          <w:lang w:eastAsia="ko-KR"/>
          <w:rFonts w:ascii="Google Sans Text" w:eastAsia="Google Sans Text" w:hAnsi="Google Sans Text" w:cs="Google Sans Text"/>
          <w:b w:val="0"/>
          <w:rtl w:val="off"/>
        </w:rPr>
        <w:t xml:space="preserve"> 4. </w:t>
      </w:r>
      <w:r>
        <w:rPr>
          <w:rFonts w:ascii="Google Sans Text" w:eastAsia="Google Sans Text" w:hAnsi="Google Sans Text" w:cs="Google Sans Text"/>
          <w:b w:val="0"/>
        </w:rPr>
        <w:t>통계적 이상 감지:</w:t>
      </w:r>
      <w:r>
        <w:rPr>
          <w:rFonts w:ascii="Google Sans Text" w:eastAsia="Google Sans Text" w:hAnsi="Google Sans Text" w:cs="Google Sans Text"/>
          <w:b w:val="0"/>
        </w:rPr>
        <w:t>유저의 평소 행동 범위를 벗어난 데이터를 감지하여 스트레스 상태나 비정상 행동을 식별한다.</w:t>
      </w:r>
    </w:p>
    <w:p>
      <w:pPr>
        <w:pStyle w:val="a3"/>
        <w:wordWrap/>
        <w:spacing w:line="264" w:lineRule="auto"/>
        <w:rPr>
          <w:lang w:eastAsia="ko-KR"/>
          <w:rFonts w:hint="eastAsia"/>
          <w:rtl w:val="off"/>
        </w:rPr>
      </w:pPr>
    </w:p>
    <w:p>
      <w:pPr>
        <w:rPr>
          <w:b w:val="0"/>
        </w:rPr>
      </w:pPr>
      <w:r>
        <w:rPr>
          <w:lang w:eastAsia="ko-KR"/>
          <w:rtl w:val="off"/>
        </w:rPr>
        <w:t>3.3</w:t>
      </w:r>
      <w:r>
        <w:rPr/>
        <w:t xml:space="preserve"> 실제 데이터 통합 결과</w:t>
      </w:r>
      <w:r>
        <w:rPr/>
        <w:t>본 연구의 타당성을 검증하기 위해 OpenDota API를 통한 Dota 2 매치 데이터와 MineRL 데이터셋을 통합하였다. 마인크래프트, 스타듀밸리 등 서로 다른 장르의 게임에서 수집된 행동 데이터를 성공적으로 정규화하였다.</w:t>
      </w:r>
    </w:p>
    <w:p>
      <w:pPr/>
      <w:r>
        <w:rPr>
          <w:lang w:eastAsia="ko-KR"/>
          <w:rtl w:val="off"/>
        </w:rPr>
        <w:t>3.4</w:t>
      </w:r>
      <w:r>
        <w:rPr/>
        <w:t xml:space="preserve"> </w:t>
      </w:r>
      <w:r>
        <w:rPr>
          <w:b w:val="0"/>
        </w:rPr>
        <w:drawing>
          <wp:inline distT="0" distB="0" distL="0" distR="0">
            <wp:extent cx="2660489" cy="1672547"/>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r="49533"/>
                    <a:stretch>
                      <a:fillRect/>
                    </a:stretch>
                  </pic:blipFill>
                  <pic:spPr>
                    <a:xfrm>
                      <a:off x="0" y="0"/>
                      <a:ext cx="2660489" cy="1672547"/>
                    </a:xfrm>
                    <a:prstGeom prst="rect"/>
                  </pic:spPr>
                </pic:pic>
              </a:graphicData>
            </a:graphic>
          </wp:inline>
        </w:drawing>
      </w:r>
    </w:p>
    <w:p>
      <w:pPr>
        <w:pStyle w:val="affff"/>
        <w:jc w:val="center"/>
        <w:rPr>
          <w:b w:val="0"/>
        </w:rPr>
      </w:pPr>
      <w:r>
        <w:rPr>
          <w:lang w:eastAsia="ko-KR"/>
          <w:rtl w:val="off"/>
        </w:rPr>
        <w:t>[</w:t>
      </w:r>
      <w:r>
        <w:t xml:space="preserve">그림 </w:t>
      </w:r>
      <w:r>
        <w:fldChar w:fldCharType="begin"/>
      </w:r>
      <w:r>
        <w:instrText xml:space="preserve"> SEQ 그림 \* ARABIC</w:instrText>
      </w:r>
      <w:r>
        <w:fldChar w:fldCharType="separate"/>
      </w:r>
      <w:r>
        <w:t>1</w:t>
      </w:r>
      <w:r>
        <w:fldChar w:fldCharType="end"/>
      </w:r>
      <w:r>
        <w:rPr>
          <w:lang w:eastAsia="ko-KR"/>
          <w:rtl w:val="off"/>
        </w:rPr>
        <w:t>]</w:t>
      </w:r>
    </w:p>
    <w:p>
      <w:pPr/>
      <w:r>
        <w:rPr>
          <w:b w:val="0"/>
        </w:rPr>
        <w:drawing>
          <wp:inline distT="0" distB="0" distL="0" distR="0">
            <wp:extent cx="3059430" cy="2019935"/>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3059430" cy="2019935"/>
                    </a:xfrm>
                    <a:prstGeom prst="rect"/>
                  </pic:spPr>
                </pic:pic>
              </a:graphicData>
            </a:graphic>
          </wp:inline>
        </w:drawing>
      </w:r>
    </w:p>
    <w:p>
      <w:pPr>
        <w:pStyle w:val="affff"/>
        <w:jc w:val="center"/>
      </w:pPr>
      <w:r>
        <w:rPr>
          <w:lang w:eastAsia="ko-KR"/>
          <w:rtl w:val="off"/>
        </w:rPr>
        <w:t>[</w:t>
      </w:r>
      <w:r>
        <w:t xml:space="preserve">그림 </w:t>
      </w:r>
      <w:r>
        <w:fldChar w:fldCharType="begin"/>
      </w:r>
      <w:r>
        <w:instrText xml:space="preserve"> SEQ 그림 \* ARABIC</w:instrText>
      </w:r>
      <w:r>
        <w:fldChar w:fldCharType="separate"/>
      </w:r>
      <w:r>
        <w:t>2</w:t>
      </w:r>
      <w:r>
        <w:fldChar w:fldCharType="end"/>
      </w:r>
      <w:r>
        <w:rPr>
          <w:lang w:eastAsia="ko-KR"/>
          <w:rtl w:val="off"/>
        </w:rPr>
        <w:t>]</w:t>
      </w:r>
      <w:r>
        <w:rPr>
          <w:b w:val="0"/>
        </w:rPr>
        <w:drawing>
          <wp:inline distT="0" distB="0" distL="0" distR="0">
            <wp:extent cx="3059430" cy="2019935"/>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3059430" cy="2019935"/>
                    </a:xfrm>
                    <a:prstGeom prst="rect"/>
                  </pic:spPr>
                </pic:pic>
              </a:graphicData>
            </a:graphic>
          </wp:inline>
        </w:drawing>
      </w:r>
    </w:p>
    <w:p>
      <w:pPr>
        <w:pStyle w:val="affff"/>
        <w:jc w:val="center"/>
      </w:pPr>
      <w:r>
        <w:t xml:space="preserve">그림 </w:t>
      </w:r>
      <w:r>
        <w:fldChar w:fldCharType="begin"/>
      </w:r>
      <w:r>
        <w:instrText xml:space="preserve"> SEQ 그림 \* ARABIC</w:instrText>
      </w:r>
      <w:r>
        <w:fldChar w:fldCharType="separate"/>
      </w:r>
      <w:r>
        <w:t>3</w:t>
      </w:r>
      <w:r>
        <w:fldChar w:fldCharType="end"/>
      </w:r>
      <w:r>
        <w:rPr>
          <w:b w:val="0"/>
        </w:rPr>
        <w:drawing>
          <wp:inline distT="0" distB="0" distL="0" distR="0">
            <wp:extent cx="3059430" cy="2019935"/>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3059430" cy="2019935"/>
                    </a:xfrm>
                    <a:prstGeom prst="rect"/>
                  </pic:spPr>
                </pic:pic>
              </a:graphicData>
            </a:graphic>
          </wp:inline>
        </w:drawing>
      </w:r>
    </w:p>
    <w:p>
      <w:pPr>
        <w:pStyle w:val="affff"/>
        <w:jc w:val="center"/>
        <w:rPr>
          <w:b w:val="0"/>
        </w:rPr>
      </w:pPr>
      <w:r>
        <w:t xml:space="preserve">그림 </w:t>
      </w:r>
      <w:r>
        <w:fldChar w:fldCharType="begin"/>
      </w:r>
      <w:r>
        <w:instrText xml:space="preserve"> SEQ 그림 \* ARABIC</w:instrText>
      </w:r>
      <w:r>
        <w:fldChar w:fldCharType="separate"/>
      </w:r>
      <w:r>
        <w:t>4</w:t>
      </w:r>
      <w:r>
        <w:fldChar w:fldCharType="end"/>
      </w:r>
    </w:p>
    <w:p>
      <w:pPr>
        <w:rPr/>
      </w:pPr>
    </w:p>
    <w:p>
      <w:pPr>
        <w:rPr>
          <w:b w:val="0"/>
        </w:rPr>
      </w:pPr>
      <w:r>
        <w:rPr/>
        <w:t>시스템 정확도:</w:t>
      </w:r>
      <w:r>
        <w:rPr/>
        <w:t xml:space="preserve">파싱 정확도 </w:t>
      </w:r>
      <w:r>
        <w:rPr/>
        <w:t>75%</w:t>
      </w:r>
      <w:r>
        <w:rPr/>
        <w:t xml:space="preserve">, 엣지 케이스 처리율 </w:t>
      </w:r>
      <w:r>
        <w:rPr/>
        <w:t>100%</w:t>
      </w:r>
      <w:r>
        <w:rPr/>
        <w:t>기록.</w:t>
      </w:r>
    </w:p>
    <w:p>
      <w:pPr>
        <w:pStyle w:val="a3"/>
        <w:wordWrap/>
        <w:spacing w:line="264" w:lineRule="auto"/>
      </w:pPr>
    </w:p>
    <w:p>
      <w:pPr>
        <w:pStyle w:val="a3"/>
        <w:wordWrap/>
        <w:spacing w:line="264" w:lineRule="auto"/>
      </w:pPr>
    </w:p>
    <w:p>
      <w:pPr>
        <w:pStyle w:val="1"/>
        <w:wordWrap/>
        <w:spacing w:line="264" w:lineRule="auto"/>
      </w:pPr>
      <w:r>
        <w:rPr>
          <w:sz w:val="18"/>
        </w:rPr>
        <w:t>4. 결론</w:t>
      </w:r>
    </w:p>
    <w:p>
      <w:pPr>
        <w:pStyle w:val="a3"/>
        <w:wordWrap/>
        <w:spacing w:line="264" w:lineRule="auto"/>
        <w:rPr>
          <w:lang w:eastAsia="ko-KR"/>
          <w:rFonts w:hint="eastAsia"/>
          <w:rtl w:val="off"/>
        </w:rPr>
      </w:pPr>
      <w:r>
        <w:t xml:space="preserve"> </w:t>
      </w:r>
    </w:p>
    <w:p>
      <w:pPr>
        <w:pStyle w:val="a3"/>
        <w:wordWrap/>
        <w:spacing w:line="264" w:lineRule="auto"/>
        <w:rPr>
          <w:rFonts w:ascii="함초롬바탕" w:eastAsia="함초롬바탕"/>
        </w:rPr>
      </w:pPr>
      <w:r>
        <w:rPr>
          <w:lang w:eastAsia="ko-KR"/>
          <w:rFonts w:ascii="함초롬바탕" w:eastAsia="함초롬바탕"/>
          <w:b/>
          <w:bCs/>
          <w:rtl w:val="off"/>
        </w:rPr>
        <w:t>참고문헌</w:t>
      </w:r>
    </w:p>
    <w:p>
      <w:pPr>
        <w:pStyle w:val="a3"/>
        <w:ind w:left="274" w:hanging="274"/>
        <w:wordWrap/>
        <w:spacing w:line="264" w:lineRule="auto"/>
        <w:rPr>
          <w:sz w:val="16"/>
          <w:spacing w:val="-2"/>
        </w:rPr>
      </w:pPr>
    </w:p>
    <w:p>
      <w:pPr>
        <w:pStyle w:val="a3"/>
        <w:ind w:left="274" w:hanging="274"/>
        <w:wordWrap/>
        <w:spacing w:line="264" w:lineRule="auto"/>
        <w:rPr>
          <w:sz w:val="16"/>
          <w:spacing w:val="-2"/>
        </w:rPr>
      </w:pPr>
    </w:p>
    <w:p>
      <w:pPr>
        <w:pStyle w:val="a3"/>
        <w:ind w:left="274" w:hanging="274"/>
        <w:wordWrap/>
        <w:spacing w:line="264" w:lineRule="auto"/>
        <w:rPr>
          <w:sz w:val="16"/>
          <w:spacing w:val="-2"/>
        </w:rPr>
      </w:pPr>
    </w:p>
    <w:p>
      <w:pPr>
        <w:pStyle w:val="a3"/>
        <w:ind w:left="274" w:hanging="274"/>
        <w:wordWrap/>
        <w:spacing w:line="264" w:lineRule="auto"/>
        <w:rPr>
          <w:sz w:val="16"/>
          <w:spacing w:val="-2"/>
        </w:rPr>
      </w:pPr>
    </w:p>
    <w:p>
      <w:pPr>
        <w:pStyle w:val="a3"/>
        <w:ind w:left="274" w:hanging="274"/>
        <w:wordWrap/>
        <w:spacing w:line="264" w:lineRule="auto"/>
        <w:rPr>
          <w:sz w:val="16"/>
          <w:spacing w:val="-2"/>
        </w:rPr>
      </w:pPr>
    </w:p>
    <w:p>
      <w:pPr>
        <w:pStyle w:val="a3"/>
        <w:ind w:left="274" w:hanging="274"/>
        <w:wordWrap/>
        <w:spacing w:line="264" w:lineRule="auto"/>
        <w:rPr>
          <w:sz w:val="16"/>
          <w:spacing w:val="-2"/>
        </w:rPr>
      </w:pPr>
    </w:p>
    <w:p>
      <w:pPr>
        <w:pStyle w:val="a3"/>
        <w:wordWrap/>
        <w:spacing w:line="264" w:lineRule="auto"/>
      </w:pPr>
      <w:r>
        <w:rPr>
          <w:b/>
          <w:color w:val="0000FF"/>
          <w:sz w:val="22"/>
          <w:u w:val="single" w:color="auto"/>
          <w:spacing w:val="-2"/>
        </w:rPr>
        <w:t>서식 안내</w:t>
      </w:r>
    </w:p>
    <w:p>
      <w:pPr>
        <w:pStyle w:val="a3"/>
        <w:ind w:left="514" w:hanging="514"/>
        <w:wordWrap/>
        <w:numPr>
          <w:ilvl w:val="0"/>
          <w:numId w:val="1"/>
        </w:numPr>
        <w:spacing w:line="264" w:lineRule="auto"/>
      </w:pPr>
      <w:r>
        <w:rPr>
          <w:sz w:val="20"/>
          <w:spacing w:val="-2"/>
        </w:rPr>
        <w:t xml:space="preserve">본 논문 양식을 이용하여 논문을 작성합니다. </w:t>
      </w:r>
    </w:p>
    <w:p>
      <w:pPr>
        <w:pStyle w:val="a3"/>
        <w:ind w:left="514" w:hanging="514"/>
        <w:wordWrap/>
        <w:numPr>
          <w:ilvl w:val="0"/>
          <w:numId w:val="1"/>
        </w:numPr>
        <w:spacing w:line="264" w:lineRule="auto"/>
      </w:pPr>
      <w:r>
        <w:rPr>
          <w:sz w:val="20"/>
          <w:spacing w:val="-2"/>
        </w:rPr>
        <w:t xml:space="preserve">작성 후 본 </w:t>
      </w:r>
      <w:r>
        <w:rPr>
          <w:color w:val="0000FF"/>
          <w:sz w:val="20"/>
          <w:u w:val="single" w:color="auto"/>
          <w:spacing w:val="-2"/>
        </w:rPr>
        <w:t>서식 안내</w:t>
      </w:r>
      <w:r>
        <w:rPr>
          <w:sz w:val="20"/>
          <w:spacing w:val="-2"/>
        </w:rPr>
        <w:t>는 삭제합니다.</w:t>
      </w:r>
    </w:p>
    <w:p>
      <w:pPr>
        <w:pStyle w:val="a3"/>
        <w:ind w:left="514" w:hanging="514"/>
        <w:wordWrap/>
        <w:numPr>
          <w:ilvl w:val="0"/>
          <w:numId w:val="1"/>
        </w:numPr>
        <w:spacing w:line="264" w:lineRule="auto"/>
      </w:pPr>
      <w:r>
        <w:rPr>
          <w:sz w:val="20"/>
          <w:spacing w:val="-2"/>
        </w:rPr>
        <w:t>논문작성은</w:t>
      </w:r>
      <w:r>
        <w:rPr>
          <w:sz w:val="20"/>
          <w:spacing w:val="-2"/>
        </w:rPr>
        <w:t xml:space="preserve"> </w:t>
      </w:r>
      <w:r>
        <w:rPr>
          <w:b/>
          <w:color w:val="FF0000"/>
          <w:sz w:val="20"/>
          <w:spacing w:val="-2"/>
        </w:rPr>
        <w:t>2~4페이지</w:t>
      </w:r>
      <w:r>
        <w:rPr>
          <w:sz w:val="20"/>
          <w:spacing w:val="-2"/>
        </w:rPr>
        <w:t xml:space="preserve">로 작성합니다. </w:t>
      </w:r>
    </w:p>
    <w:p>
      <w:pPr>
        <w:pStyle w:val="a3"/>
        <w:ind w:left="514" w:hanging="514"/>
        <w:wordWrap/>
        <w:numPr>
          <w:ilvl w:val="0"/>
          <w:numId w:val="1"/>
        </w:numPr>
        <w:spacing w:line="264" w:lineRule="auto"/>
      </w:pPr>
      <w:r>
        <w:rPr>
          <w:sz w:val="20"/>
          <w:spacing w:val="-2"/>
        </w:rPr>
        <w:t xml:space="preserve">본문에서 </w:t>
      </w:r>
      <w:r>
        <w:rPr>
          <w:sz w:val="20"/>
          <w:spacing w:val="-2"/>
        </w:rPr>
        <w:t>인용번호는</w:t>
      </w:r>
      <w:r>
        <w:rPr>
          <w:sz w:val="20"/>
          <w:spacing w:val="-2"/>
        </w:rPr>
        <w:t xml:space="preserve"> [1], [2], </w:t>
      </w:r>
      <w:r>
        <w:rPr>
          <w:sz w:val="20"/>
          <w:spacing w:val="-2"/>
        </w:rPr>
        <w:t>...</w:t>
      </w:r>
      <w:r>
        <w:rPr>
          <w:sz w:val="20"/>
          <w:spacing w:val="-2"/>
        </w:rPr>
        <w:t xml:space="preserve"> 순으로 언급하며, 참고문헌란에는 인용한 순서대로 기재합니다. </w:t>
      </w:r>
    </w:p>
    <w:p>
      <w:pPr>
        <w:pStyle w:val="a3"/>
        <w:ind w:left="240" w:hanging="240"/>
        <w:wordWrap/>
        <w:numPr>
          <w:ilvl w:val="0"/>
          <w:numId w:val="1"/>
        </w:numPr>
        <w:spacing w:line="264" w:lineRule="auto"/>
      </w:pPr>
      <w:r>
        <w:rPr>
          <w:sz w:val="20"/>
          <w:spacing w:val="-2"/>
        </w:rPr>
        <w:t>그림 서식</w:t>
      </w:r>
      <w:r>
        <w:br/>
      </w:r>
      <w:r>
        <w:rPr>
          <w:sz w:val="20"/>
          <w:spacing w:val="-2"/>
        </w:rPr>
        <w:t>-</w:t>
      </w:r>
      <w:r>
        <w:rPr>
          <w:sz w:val="20"/>
          <w:spacing w:val="-2"/>
        </w:rPr>
        <w:t>‘</w:t>
      </w:r>
      <w:r>
        <w:rPr>
          <w:sz w:val="20"/>
          <w:spacing w:val="-2"/>
        </w:rPr>
        <w:t>캡션 넣기</w:t>
      </w:r>
      <w:r>
        <w:rPr>
          <w:sz w:val="20"/>
          <w:spacing w:val="-2"/>
        </w:rPr>
        <w:t>’</w:t>
      </w:r>
      <w:r>
        <w:rPr>
          <w:sz w:val="20"/>
          <w:spacing w:val="-2"/>
        </w:rPr>
        <w:t>로 그림 아래에 캡션을 넣음</w:t>
      </w:r>
      <w:r>
        <w:br/>
      </w:r>
      <w:r>
        <w:rPr>
          <w:sz w:val="20"/>
          <w:spacing w:val="-2"/>
        </w:rPr>
        <w:t xml:space="preserve">-캡션 번호는 </w:t>
      </w:r>
      <w:r>
        <w:rPr>
          <w:color w:val="FF0000"/>
          <w:sz w:val="20"/>
          <w:spacing w:val="-2"/>
        </w:rPr>
        <w:t>(그림 #)</w:t>
      </w:r>
      <w:r>
        <w:rPr>
          <w:sz w:val="20"/>
          <w:spacing w:val="-2"/>
        </w:rPr>
        <w:t xml:space="preserve">와 같이 표기 </w:t>
      </w:r>
      <w:r>
        <w:br/>
      </w:r>
      <w:r>
        <w:rPr>
          <w:sz w:val="20"/>
          <w:spacing w:val="-2"/>
        </w:rPr>
        <w:t xml:space="preserve">-캡션의 폰트 크기는 </w:t>
      </w:r>
      <w:r>
        <w:rPr>
          <w:sz w:val="20"/>
          <w:spacing w:val="-2"/>
        </w:rPr>
        <w:t>‘</w:t>
      </w:r>
      <w:r>
        <w:rPr>
          <w:color w:val="FF0000"/>
          <w:sz w:val="20"/>
          <w:spacing w:val="-2"/>
        </w:rPr>
        <w:t>9</w:t>
      </w:r>
      <w:r>
        <w:rPr>
          <w:sz w:val="20"/>
          <w:spacing w:val="-2"/>
        </w:rPr>
        <w:t>’</w:t>
      </w:r>
      <w:r>
        <w:rPr>
          <w:sz w:val="20"/>
          <w:spacing w:val="-2"/>
        </w:rPr>
        <w:t xml:space="preserve">, 폰트 종류는 </w:t>
      </w:r>
      <w:r>
        <w:rPr>
          <w:sz w:val="20"/>
          <w:spacing w:val="-2"/>
        </w:rPr>
        <w:t>‘</w:t>
      </w:r>
      <w:r>
        <w:rPr>
          <w:color w:val="FF0000"/>
          <w:sz w:val="20"/>
          <w:spacing w:val="-2"/>
        </w:rPr>
        <w:t>중고딕</w:t>
      </w:r>
      <w:r>
        <w:rPr>
          <w:sz w:val="20"/>
          <w:spacing w:val="-2"/>
        </w:rPr>
        <w:t>’</w:t>
      </w:r>
      <w:r>
        <w:rPr>
          <w:sz w:val="20"/>
          <w:spacing w:val="-2"/>
        </w:rPr>
        <w:t xml:space="preserve">, 정렬은 </w:t>
      </w:r>
      <w:r>
        <w:rPr>
          <w:sz w:val="20"/>
          <w:spacing w:val="-2"/>
        </w:rPr>
        <w:t>‘</w:t>
      </w:r>
      <w:r>
        <w:rPr>
          <w:color w:val="FF0000"/>
          <w:sz w:val="20"/>
          <w:spacing w:val="-2"/>
        </w:rPr>
        <w:t>가운데 정렬</w:t>
      </w:r>
      <w:r>
        <w:rPr>
          <w:sz w:val="20"/>
          <w:spacing w:val="-2"/>
        </w:rPr>
        <w:t>’</w:t>
      </w:r>
      <w:r>
        <w:rPr>
          <w:sz w:val="20"/>
          <w:spacing w:val="-2"/>
        </w:rPr>
        <w:t xml:space="preserve">  </w:t>
      </w:r>
    </w:p>
    <w:p>
      <w:pPr>
        <w:pStyle w:val="a3"/>
        <w:wordWrap/>
        <w:jc w:val="center"/>
        <w:spacing w:line="264" w:lineRule="auto"/>
      </w:pPr>
      <w:r>
        <w:rPr>
          <w:noProof/>
        </w:rPr>
        <w:drawing>
          <wp:inline distT="0" distB="0" distL="0" distR="0">
            <wp:extent cx="3059684" cy="2085213"/>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3059684" cy="2085213"/>
                    </a:xfrm>
                    <a:prstGeom prst="rect"/>
                  </pic:spPr>
                </pic:pic>
              </a:graphicData>
            </a:graphic>
          </wp:inline>
        </w:drawing>
      </w:r>
      <w:r>
        <w:rPr>
          <w:rFonts w:ascii="한양중고딕" w:eastAsia="한양중고딕"/>
        </w:rPr>
        <w:t xml:space="preserve"> </w:t>
      </w:r>
      <w:r>
        <w:rPr>
          <w:rFonts w:ascii="한양중고딕" w:eastAsia="한양중고딕"/>
        </w:rPr>
        <w:t>(그림 5) 서울시 초등학교 아동급식 카드 가맹점과 초등학교 수의 100m 반경 분포</w:t>
      </w:r>
    </w:p>
    <w:p>
      <w:pPr>
        <w:pStyle w:val="a3"/>
        <w:ind w:left="514" w:hanging="514"/>
        <w:wordWrap/>
        <w:numPr>
          <w:ilvl w:val="0"/>
          <w:numId w:val="1"/>
        </w:numPr>
        <w:spacing w:line="264" w:lineRule="auto"/>
      </w:pPr>
      <w:r>
        <w:rPr>
          <w:sz w:val="20"/>
          <w:spacing w:val="-2"/>
        </w:rPr>
        <w:t>표 서식</w:t>
      </w:r>
      <w:r>
        <w:br/>
      </w:r>
      <w:r>
        <w:rPr>
          <w:sz w:val="20"/>
          <w:spacing w:val="-2"/>
        </w:rPr>
        <w:t xml:space="preserve">-캡션 번호는 </w:t>
      </w:r>
      <w:r>
        <w:rPr>
          <w:color w:val="FF0000"/>
          <w:sz w:val="20"/>
          <w:spacing w:val="-2"/>
        </w:rPr>
        <w:t>&lt;표 #&gt;</w:t>
      </w:r>
      <w:r>
        <w:rPr>
          <w:sz w:val="20"/>
          <w:spacing w:val="-2"/>
        </w:rPr>
        <w:t xml:space="preserve">와 같이 </w:t>
      </w:r>
      <w:r>
        <w:rPr>
          <w:color w:val="FF0000"/>
          <w:sz w:val="20"/>
          <w:spacing w:val="-2"/>
        </w:rPr>
        <w:t xml:space="preserve">표 위에 </w:t>
      </w:r>
      <w:r>
        <w:rPr>
          <w:sz w:val="20"/>
          <w:spacing w:val="-2"/>
        </w:rPr>
        <w:t>표기</w:t>
      </w:r>
      <w:r>
        <w:br/>
      </w:r>
      <w:r>
        <w:rPr>
          <w:sz w:val="20"/>
          <w:spacing w:val="-2"/>
        </w:rPr>
        <w:t xml:space="preserve">-캡션의 폰트 크기는 </w:t>
      </w:r>
      <w:r>
        <w:rPr>
          <w:sz w:val="20"/>
          <w:spacing w:val="-2"/>
        </w:rPr>
        <w:t>‘</w:t>
      </w:r>
      <w:r>
        <w:rPr>
          <w:color w:val="FF0000"/>
          <w:sz w:val="20"/>
          <w:spacing w:val="-2"/>
        </w:rPr>
        <w:t>9</w:t>
      </w:r>
      <w:r>
        <w:rPr>
          <w:sz w:val="20"/>
          <w:spacing w:val="-2"/>
        </w:rPr>
        <w:t>’</w:t>
      </w:r>
      <w:r>
        <w:rPr>
          <w:sz w:val="20"/>
          <w:spacing w:val="-2"/>
        </w:rPr>
        <w:t xml:space="preserve">, 폰트 종류는 </w:t>
      </w:r>
      <w:r>
        <w:rPr>
          <w:sz w:val="20"/>
          <w:spacing w:val="-2"/>
        </w:rPr>
        <w:t>‘</w:t>
      </w:r>
      <w:r>
        <w:rPr>
          <w:color w:val="FF0000"/>
          <w:sz w:val="20"/>
          <w:spacing w:val="-2"/>
        </w:rPr>
        <w:t>중고딕</w:t>
      </w:r>
      <w:r>
        <w:rPr>
          <w:sz w:val="20"/>
          <w:spacing w:val="-2"/>
        </w:rPr>
        <w:t>’</w:t>
      </w:r>
      <w:r>
        <w:rPr>
          <w:sz w:val="20"/>
          <w:spacing w:val="-2"/>
        </w:rPr>
        <w:t xml:space="preserve">, 정렬은 </w:t>
      </w:r>
      <w:r>
        <w:rPr>
          <w:sz w:val="20"/>
          <w:spacing w:val="-2"/>
        </w:rPr>
        <w:t>‘</w:t>
      </w:r>
      <w:r>
        <w:rPr>
          <w:color w:val="FF0000"/>
          <w:sz w:val="20"/>
          <w:spacing w:val="-2"/>
        </w:rPr>
        <w:t>가운데 정렬</w:t>
      </w:r>
      <w:r>
        <w:rPr>
          <w:sz w:val="20"/>
          <w:spacing w:val="-2"/>
        </w:rPr>
        <w:t>’</w:t>
      </w:r>
      <w:r>
        <w:rPr>
          <w:sz w:val="20"/>
          <w:spacing w:val="-2"/>
        </w:rPr>
        <w:t xml:space="preserve">  </w:t>
      </w:r>
    </w:p>
    <w:p>
      <w:pPr>
        <w:pStyle w:val="ac"/>
        <w:ind w:firstLine="0"/>
        <w:wordWrap/>
        <w:jc w:val="center"/>
        <w:spacing w:line="264" w:lineRule="auto"/>
      </w:pPr>
      <w:r>
        <w:rPr>
          <w:rFonts w:ascii="한양중고딕" w:eastAsia="한양중고딕"/>
          <w:sz w:val="18"/>
        </w:rPr>
        <w:t>&lt;표 1&gt; IBM의 양자컴퓨터 (2021.03.22 기준 현황)</w:t>
      </w:r>
    </w:p>
    <w:tbl>
      <w:tblPr>
        <w:tblOverlap w:val="never"/>
        <w:tblW w:w="5070" w:type="dxa"/>
        <w:tblInd w:w="108" w:type="dxa"/>
        <w:tblBorders>
          <w:top w:val="single" w:sz="3" w:space="0" w:color="0A0000"/>
          <w:left w:val="single" w:sz="3" w:space="0" w:color="0A0000"/>
          <w:bottom w:val="single" w:sz="3" w:space="0" w:color="0A0000"/>
          <w:right w:val="single" w:sz="3" w:space="0" w:color="0A0000"/>
        </w:tblBorders>
        <w:tblLook w:val="0000" w:firstRow="0" w:lastRow="0" w:firstColumn="0" w:lastColumn="0" w:noHBand="0" w:noVBand="0"/>
        <w:shd w:val="clear" w:color="000000" w:fill="FFFFFF"/>
        <w:tblLayout w:type="fixed"/>
      </w:tblPr>
      <w:tblGrid>
        <w:gridCol w:w="1894"/>
        <w:gridCol w:w="2042"/>
        <w:gridCol w:w="1134"/>
      </w:tblGrid>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양자</w:t>
            </w:r>
            <w:r>
              <w:rPr>
                <w:sz w:val="18"/>
              </w:rPr>
              <w:t xml:space="preserve"> </w:t>
            </w:r>
            <w:r>
              <w:rPr>
                <w:sz w:val="18"/>
              </w:rPr>
              <w:t>컴퓨터</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큐의</w:t>
            </w:r>
            <w:r>
              <w:rPr>
                <w:sz w:val="18"/>
              </w:rPr>
              <w:t xml:space="preserve"> </w:t>
            </w:r>
            <w:r>
              <w:rPr>
                <w:sz w:val="18"/>
              </w:rPr>
              <w:t>대기</w:t>
            </w:r>
            <w:r>
              <w:rPr>
                <w:sz w:val="18"/>
              </w:rPr>
              <w:t xml:space="preserve"> </w:t>
            </w:r>
            <w:r>
              <w:rPr>
                <w:sz w:val="18"/>
              </w:rPr>
              <w:t>작업</w:t>
            </w:r>
            <w:r>
              <w:rPr>
                <w:sz w:val="18"/>
              </w:rPr>
              <w:t xml:space="preserve"> </w:t>
            </w:r>
            <w:r>
              <w:rPr>
                <w:sz w:val="18"/>
              </w:rPr>
              <w:t>수</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큐비트</w:t>
            </w:r>
            <w:r>
              <w:rPr>
                <w:sz w:val="18"/>
              </w:rPr>
              <w:t xml:space="preserve"> </w:t>
            </w:r>
            <w:r>
              <w:rPr>
                <w:sz w:val="18"/>
              </w:rPr>
              <w:t>수</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Ibmqx2</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2069</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Ibmq_16_melbourne</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8267</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15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Ibmq_armonk</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29</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1</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Ibmq_athens</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6492</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Ibmq_santiago</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4851</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Ibmq_lima</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6</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Ibmq_belem</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14</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r>
        <w:trPr>
          <w:trHeight w:val="237" w:hRule="atLeast"/>
        </w:trPr>
        <w:tc>
          <w:tcPr>
            <w:tcW w:w="189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spacing w:line="264" w:lineRule="auto"/>
            </w:pPr>
            <w:r>
              <w:rPr>
                <w:sz w:val="18"/>
              </w:rPr>
              <w:t>Ibmq_quito</w:t>
            </w:r>
          </w:p>
        </w:tc>
        <w:tc>
          <w:tcPr>
            <w:tcW w:w="2042"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460</w:t>
            </w:r>
          </w:p>
        </w:tc>
        <w:tc>
          <w:tcPr>
            <w:tcW w:w="1134" w:type="dxa"/>
            <w:tcBorders>
              <w:top w:val="single" w:sz="3" w:space="0" w:color="0A0000"/>
              <w:left w:val="single" w:sz="3" w:space="0" w:color="0A0000"/>
              <w:bottom w:val="single" w:sz="3" w:space="0" w:color="0A0000"/>
              <w:right w:val="single" w:sz="3" w:space="0" w:color="0A0000"/>
            </w:tcBorders>
            <w:shd w:val="clear" w:color="auto" w:fill="FFFFFF"/>
          </w:tcPr>
          <w:p>
            <w:pPr>
              <w:pStyle w:val="ac"/>
              <w:ind w:firstLine="0"/>
              <w:wordWrap/>
              <w:snapToGrid w:val="0"/>
              <w:jc w:val="center"/>
              <w:spacing w:line="264" w:lineRule="auto"/>
            </w:pPr>
            <w:r>
              <w:rPr>
                <w:sz w:val="18"/>
              </w:rPr>
              <w:t>5</w:t>
            </w:r>
          </w:p>
        </w:tc>
      </w:tr>
    </w:tbl>
    <w:p>
      <w:pPr>
        <w:pStyle w:val="a3"/>
        <w:ind w:left="514" w:hanging="514"/>
        <w:wordWrap/>
        <w:numPr>
          <w:ilvl w:val="0"/>
          <w:numId w:val="1"/>
        </w:numPr>
        <w:spacing w:line="264" w:lineRule="auto"/>
      </w:pPr>
      <w:r>
        <w:rPr>
          <w:sz w:val="20"/>
          <w:spacing w:val="-2"/>
        </w:rPr>
        <w:t>참고문헌 기술방식</w:t>
      </w:r>
    </w:p>
    <w:p>
      <w:pPr>
        <w:pStyle w:val="a3"/>
        <w:ind w:left="364" w:hanging="100"/>
        <w:wordWrap/>
        <w:spacing w:line="264" w:lineRule="auto"/>
      </w:pPr>
      <w:r>
        <w:rPr>
          <w:sz w:val="20"/>
        </w:rPr>
        <w:t xml:space="preserve">-저자, 제목, </w:t>
      </w:r>
      <w:r>
        <w:rPr>
          <w:sz w:val="20"/>
        </w:rPr>
        <w:t>학술지명</w:t>
      </w:r>
      <w:r>
        <w:rPr>
          <w:sz w:val="20"/>
        </w:rPr>
        <w:t>, 권, 호, 쪽번호</w:t>
      </w:r>
      <w:r>
        <w:rPr>
          <w:sz w:val="20"/>
        </w:rPr>
        <w:t xml:space="preserve">,         </w:t>
      </w:r>
      <w:r>
        <w:rPr>
          <w:sz w:val="20"/>
        </w:rPr>
        <w:t>발행년도</w:t>
      </w:r>
      <w:r>
        <w:rPr>
          <w:sz w:val="20"/>
        </w:rPr>
        <w:t xml:space="preserve">. 순으로 작성 </w:t>
      </w:r>
      <w:r>
        <w:rPr>
          <w:b/>
          <w:color w:val="FF0000"/>
          <w:sz w:val="20"/>
        </w:rPr>
        <w:t>(학술지 경우)</w:t>
      </w:r>
    </w:p>
    <w:p>
      <w:pPr>
        <w:pStyle w:val="a3"/>
        <w:ind w:left="364" w:hanging="100"/>
        <w:wordWrap/>
        <w:spacing w:line="264" w:lineRule="auto"/>
      </w:pPr>
      <w:r>
        <w:rPr>
          <w:sz w:val="20"/>
        </w:rPr>
        <w:t xml:space="preserve">-저자, 제목, </w:t>
      </w:r>
      <w:r>
        <w:rPr>
          <w:sz w:val="20"/>
        </w:rPr>
        <w:t>학술대회명</w:t>
      </w:r>
      <w:r>
        <w:rPr>
          <w:sz w:val="20"/>
        </w:rPr>
        <w:t xml:space="preserve">, 개최지, </w:t>
      </w:r>
      <w:r>
        <w:rPr>
          <w:sz w:val="20"/>
        </w:rPr>
        <w:t>개최년도</w:t>
      </w:r>
      <w:r>
        <w:rPr>
          <w:sz w:val="20"/>
        </w:rPr>
        <w:t xml:space="preserve">, 쪽번호 </w:t>
      </w:r>
      <w:r>
        <w:rPr>
          <w:b/>
          <w:color w:val="FF0000"/>
          <w:sz w:val="20"/>
        </w:rPr>
        <w:t>(학술대회, 컨퍼런스, 워크샵 경우)</w:t>
      </w:r>
    </w:p>
    <w:p>
      <w:pPr>
        <w:pStyle w:val="a3"/>
        <w:ind w:left="364" w:hanging="100"/>
        <w:wordWrap/>
        <w:spacing w:line="264" w:lineRule="auto"/>
      </w:pPr>
      <w:r>
        <w:rPr>
          <w:sz w:val="20"/>
        </w:rPr>
        <w:t xml:space="preserve">-저자, 책제목, </w:t>
      </w:r>
      <w:r>
        <w:rPr>
          <w:sz w:val="20"/>
        </w:rPr>
        <w:t>출판지</w:t>
      </w:r>
      <w:r>
        <w:rPr>
          <w:sz w:val="20"/>
        </w:rPr>
        <w:t>(도시), 출판사, 연도</w:t>
      </w:r>
      <w:r>
        <w:rPr>
          <w:b/>
          <w:color w:val="FF0000"/>
          <w:sz w:val="20"/>
        </w:rPr>
        <w:t xml:space="preserve"> (단행본 도서 경우)</w:t>
      </w:r>
    </w:p>
    <w:p>
      <w:pPr>
        <w:pStyle w:val="a3"/>
        <w:ind w:left="364" w:hanging="100"/>
        <w:wordWrap/>
        <w:spacing w:line="264" w:lineRule="auto"/>
      </w:pPr>
      <w:r>
        <w:rPr>
          <w:sz w:val="20"/>
        </w:rPr>
        <w:t>-제목, 제공기관, 최근 접속일(연월일), 웹사이트 주소</w:t>
      </w:r>
      <w:r>
        <w:rPr>
          <w:b/>
          <w:color w:val="FF0000"/>
          <w:sz w:val="20"/>
        </w:rPr>
        <w:t xml:space="preserve"> (웹사이트 경우)</w:t>
      </w:r>
    </w:p>
    <w:sectPr>
      <w:pgSz w:w="11906" w:h="16838"/>
      <w:pgMar w:top="680" w:right="851" w:bottom="680" w:left="851" w:header="680" w:footer="680" w:gutter="0"/>
      <w:cols w:space="567" w:num="2"/>
      <w:docGrid w:linePitch="360"/>
      <w:endnotePr>
        <w:numFmt w:val="decimal"/>
      </w:endnotePr>
      <w:headerReference w:type="default" r:id="rI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E0002EFF" w:usb1="C000785B" w:usb2="00000009" w:usb3="00000001" w:csb0="400001FF" w:csb1="FFFF0000"/>
  </w:font>
  <w:font w:name="HCI Poppy">
    <w:charset w:val="00"/>
    <w:notTrueType w:val="false"/>
  </w:font>
  <w:font w:name="신명조">
    <w:charset w:val="00"/>
    <w:notTrueType w:val="false"/>
  </w:font>
  <w:font w:name="신명 태고딕">
    <w:panose1 w:val="00000000000000000000"/>
    <w:family w:val="roman"/>
    <w:altName w:val="바탕"/>
    <w:charset w:val="81"/>
    <w:notTrueType w:val="false"/>
    <w:sig w:usb0="00000001" w:usb1="09060000" w:usb2="00000010" w:usb3="00000000" w:csb0="00080000" w:csb1="00000000"/>
  </w:font>
  <w:font w:name="한양신명조">
    <w:charset w:val="00"/>
    <w:notTrueType w:val="false"/>
  </w:font>
  <w:font w:name="한컴 고딕">
    <w:panose1 w:val="02000500000000000000"/>
    <w:family w:val="Hancom Gothic"/>
    <w:charset w:val="00"/>
    <w:notTrueType w:val="false"/>
    <w:sig w:usb0="900002A7" w:usb1="39D7FCFB" w:usb2="00000010" w:usb3="00000001" w:csb0="00080001" w:csb1="00000001"/>
  </w:font>
  <w:font w:name="Google Sans Text">
    <w:charset w:val="00"/>
    <w:notTrueType w:val="false"/>
  </w:font>
  <w:font w:name="함초롬바탕">
    <w:panose1 w:val="02030604000101010101"/>
    <w:family w:val="HCR Batang"/>
    <w:charset w:val="00"/>
    <w:notTrueType w:val="false"/>
    <w:sig w:usb0="F70006FF" w:usb1="19DFFFFF" w:usb2="001BFDD7" w:usb3="00000001" w:csb0="001F01FF" w:csb1="00000001"/>
  </w:font>
  <w:font w:name="한양중고딕">
    <w:charset w:val="00"/>
    <w:notTrueType w:val="false"/>
  </w:font>
  <w:font w:name="굴림체">
    <w:panose1 w:val="020B0609000101010101"/>
    <w:family w:val="Gulim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한양견명조">
    <w:charset w:val="00"/>
    <w:notTrueType w:val="false"/>
  </w:font>
  <w:font w:name="HCI Tulip">
    <w:panose1 w:val="00000000000000000000"/>
    <w:family w:val="roman"/>
    <w:altName w:val="Times New Roman"/>
    <w:charset w:val="00"/>
    <w:notTrueType w:val="false"/>
  </w:font>
  <w:font w:name="휴먼명조">
    <w:panose1 w:val="02010504000101010101"/>
    <w:family w:val="????"/>
    <w:charset w:val="00"/>
    <w:notTrueType w:val="false"/>
    <w:sig w:usb0="7FFFFFFF" w:usb1="11D77CFB" w:usb2="00000010" w:usb3="00000001" w:csb0="00080000" w:csb1="00000001"/>
  </w:font>
  <w:font w:name="바탕체">
    <w:panose1 w:val="02030609000101010101"/>
    <w:family w:val="BatangChe"/>
    <w:charset w:val="00"/>
    <w:notTrueType w:val="false"/>
    <w:sig w:usb0="B00002AF" w:usb1="69D77CFB" w:usb2="00000030" w:usb3="00000001" w:csb0="4008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Overlap w:val="never"/>
      <w:tblW w:w="10091" w:type="dxa"/>
      <w:tblInd w:w="102" w:type="dxa"/>
      <w:tblBorders>
        <w:top w:val="single" w:sz="3" w:space="0" w:color="000000"/>
        <w:left w:val="single" w:sz="3" w:space="0" w:color="000000"/>
        <w:bottom w:val="single" w:sz="3" w:space="0" w:color="000000"/>
        <w:right w:val="single" w:sz="3" w:space="0" w:color="000000"/>
      </w:tblBorders>
      <w:tblLook w:val="0000" w:firstRow="0" w:lastRow="0" w:firstColumn="0" w:lastColumn="0" w:noHBand="0" w:noVBand="0"/>
      <w:tblLayout w:type="fixed"/>
      <w:tblCellMar>
        <w:top w:w="28" w:type="dxa"/>
        <w:left w:w="102" w:type="dxa"/>
        <w:bottom w:w="28" w:type="dxa"/>
        <w:right w:w="102" w:type="dxa"/>
      </w:tblCellMar>
    </w:tblPr>
    <w:tblGrid>
      <w:gridCol w:w="3703"/>
      <w:gridCol w:w="2628"/>
      <w:gridCol w:w="3760"/>
    </w:tblGrid>
    <w:tr>
      <w:trPr>
        <w:trHeight w:val="527" w:hRule="atLeast"/>
      </w:trPr>
      <w:tc>
        <w:tcPr>
          <w:tcW w:w="3703" w:type="dxa"/>
          <w:tcBorders>
            <w:top w:val="none" w:sz="2" w:space="0" w:color="000000"/>
            <w:left w:val="none" w:sz="2" w:space="0" w:color="000000"/>
            <w:bottom w:val="none" w:sz="2" w:space="0" w:color="000000"/>
            <w:right w:val="none" w:sz="2" w:space="0" w:color="000000"/>
          </w:tcBorders>
          <w:vAlign w:val="center"/>
        </w:tcPr>
        <w:p>
          <w:pPr>
            <w:pStyle w:val="a3"/>
            <w:wordWrap/>
            <w:jc w:val="left"/>
            <w:spacing w:line="360" w:lineRule="auto"/>
            <w:rPr>
              <w:sz w:val="16"/>
              <w:szCs w:val="16"/>
            </w:rPr>
          </w:pPr>
          <w:r>
            <w:rPr>
              <w:rFonts w:ascii="굴림체"/>
              <w:sz w:val="16"/>
              <w:szCs w:val="16"/>
            </w:rPr>
            <w:t>Hanshin University</w:t>
          </w:r>
        </w:p>
      </w:tc>
      <w:tc>
        <w:tcPr>
          <w:tcW w:w="2628" w:type="dxa"/>
          <w:tcBorders>
            <w:top w:val="none" w:sz="2" w:space="0" w:color="000000"/>
            <w:left w:val="none" w:sz="2" w:space="0" w:color="000000"/>
            <w:bottom w:val="none" w:sz="2" w:space="0" w:color="000000"/>
            <w:right w:val="none" w:sz="2" w:space="0" w:color="000000"/>
          </w:tcBorders>
          <w:vAlign w:val="center"/>
        </w:tcPr>
        <w:p>
          <w:pPr>
            <w:pStyle w:val="a3"/>
            <w:wordWrap/>
            <w:jc w:val="center"/>
            <w:spacing w:line="360" w:lineRule="auto"/>
          </w:pPr>
          <w:r>
            <w:rPr>
              <w:noProof/>
            </w:rPr>
            <w:drawing>
              <wp:inline distT="0" distB="0" distL="0" distR="0">
                <wp:extent cx="309245" cy="298577"/>
                <wp:effectExtent l="0" t="0" r="0" b="0"/>
                <wp:docPr id="2049" name="shape2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309245" cy="298577"/>
                        </a:xfrm>
                        <a:prstGeom prst="rect"/>
                      </pic:spPr>
                    </pic:pic>
                  </a:graphicData>
                </a:graphic>
              </wp:inline>
            </w:drawing>
          </w:r>
        </w:p>
      </w:tc>
      <w:tc>
        <w:tcPr>
          <w:tcW w:w="3760" w:type="dxa"/>
          <w:tcBorders>
            <w:top w:val="none" w:sz="2" w:space="0" w:color="000000"/>
            <w:left w:val="none" w:sz="2" w:space="0" w:color="000000"/>
            <w:bottom w:val="none" w:sz="2" w:space="0" w:color="000000"/>
            <w:right w:val="none" w:sz="2" w:space="0" w:color="000000"/>
          </w:tcBorders>
          <w:vAlign w:val="center"/>
        </w:tcPr>
        <w:p>
          <w:pPr>
            <w:pStyle w:val="a3"/>
            <w:wordWrap/>
            <w:jc w:val="right"/>
            <w:spacing w:line="360" w:lineRule="auto"/>
            <w:rPr>
              <w:sz w:val="16"/>
              <w:szCs w:val="16"/>
            </w:rPr>
          </w:pPr>
          <w:r>
            <w:rPr>
              <w:rFonts w:ascii="굴림체" w:eastAsia="굴림체"/>
              <w:sz w:val="16"/>
              <w:szCs w:val="16"/>
            </w:rPr>
            <w:t>2022 ABC Camp 논문집 제#권 제#호</w:t>
          </w:r>
        </w:p>
      </w:tc>
    </w:tr>
  </w:tbl>
  <w:p>
    <w:pPr>
      <w:pStyle w:val="a3"/>
      <w:wordWrap/>
      <w:jc w:val="right"/>
      <w:spacing w:line="360" w:lineRule="auto"/>
    </w:pPr>
    <w:r>
      <w:rPr>
        <w:rFonts w:ascii="굴림"/>
        <w:sz w:val="16"/>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18c6117"/>
    <w:multiLevelType w:val="multilevel"/>
    <w:tmpl w:val="abc4ca4"/>
    <w:lvl w:ilvl="0">
      <w:start w:val="1"/>
      <w:lvlText w:val="%1."/>
      <w:lvlJc w:val="left"/>
      <w:suff w:val="space"/>
      <w:rPr>
        <w:color w:val="000000"/>
        <w:spacing w:val="-2"/>
      </w:rPr>
    </w:lvl>
    <w:lvl w:ilvl="1">
      <w:start w:val="1"/>
      <w:numFmt w:val="ganada"/>
      <w:lvlText w:val="%2."/>
      <w:lvlJc w:val="left"/>
      <w:suff w:val="space"/>
      <w:rPr>
        <w:color w:val="000000"/>
        <w:spacing w:val="-2"/>
      </w:rPr>
    </w:lvl>
    <w:lvl w:ilvl="2">
      <w:start w:val="1"/>
      <w:lvlText w:val="%3)"/>
      <w:lvlJc w:val="left"/>
      <w:suff w:val="space"/>
      <w:rPr>
        <w:color w:val="000000"/>
        <w:spacing w:val="-2"/>
      </w:rPr>
    </w:lvl>
    <w:lvl w:ilvl="3">
      <w:start w:val="1"/>
      <w:numFmt w:val="ganada"/>
      <w:lvlText w:val="%4)"/>
      <w:lvlJc w:val="left"/>
      <w:suff w:val="space"/>
      <w:rPr>
        <w:color w:val="000000"/>
        <w:spacing w:val="-2"/>
      </w:rPr>
    </w:lvl>
    <w:lvl w:ilvl="4">
      <w:start w:val="1"/>
      <w:lvlText w:val="(%5)"/>
      <w:lvlJc w:val="left"/>
      <w:suff w:val="space"/>
      <w:rPr>
        <w:color w:val="000000"/>
        <w:spacing w:val="-2"/>
      </w:rPr>
    </w:lvl>
    <w:lvl w:ilvl="5">
      <w:start w:val="1"/>
      <w:numFmt w:val="ganada"/>
      <w:lvlText w:val="(%6)"/>
      <w:lvlJc w:val="left"/>
      <w:suff w:val="space"/>
      <w:rPr>
        <w:color w:val="000000"/>
        <w:spacing w:val="-2"/>
      </w:rPr>
    </w:lvl>
    <w:lvl w:ilvl="6">
      <w:start w:val="1"/>
      <w:numFmt w:val="decimalEnclosedCircle"/>
      <w:lvlText w:val="%7"/>
      <w:lvlJc w:val="left"/>
      <w:suff w:val="space"/>
      <w:rPr>
        <w:color w:val="000000"/>
        <w:spacing w:val="-2"/>
      </w:rPr>
    </w:lvl>
    <w:lvl w:ilvl="7">
      <w:start w:val="1"/>
      <w:numFmt w:val="ganada"/>
      <w:lvlText w:val="%8"/>
      <w:lvlJc w:val="left"/>
      <w:suff w:val="space"/>
      <w:rPr>
        <w:color w:val="000000"/>
        <w:spacing w:val="-2"/>
      </w:rPr>
    </w:lvl>
    <w:lvl w:ilvl="8">
      <w:start w:val="1"/>
      <w:lvlJc w:val="left"/>
      <w:suff w:val="space"/>
      <w:rPr>
        <w:color w:val="000000"/>
        <w:spacing w:val="-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color w:val="000000"/>
      <w:sz w:val="18"/>
    </w:rPr>
  </w:style>
  <w:style w:type="paragraph" w:customStyle="1" w:styleId="a4">
    <w:name w:val="국문제목"/>
    <w:uiPriority w:val="1"/>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b/>
      <w:color w:val="000000"/>
      <w:sz w:val="32"/>
    </w:rPr>
  </w:style>
  <w:style w:type="paragraph" w:customStyle="1" w:styleId="a5">
    <w:name w:val="쪽 번호"/>
    <w:uiPriority w:val="2"/>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color w:val="000000"/>
    </w:rPr>
  </w:style>
  <w:style w:type="paragraph" w:customStyle="1" w:styleId="11">
    <w:name w:val="1.1"/>
    <w:uiPriority w:val="3"/>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60" w:lineRule="auto"/>
      <w:textAlignment w:val="baseline"/>
    </w:pPr>
    <w:rPr>
      <w:rFonts w:ascii="한양견명조" w:eastAsia="한양견명조"/>
      <w:color w:val="000000"/>
      <w:w w:val="95"/>
      <w:sz w:val="18"/>
      <w:spacing w:val="-9"/>
    </w:rPr>
  </w:style>
  <w:style w:type="paragraph" w:styleId="a6">
    <w:name w:val="Body Text"/>
    <w:uiPriority w:val="4"/>
    <w:pPr>
      <w:ind w:firstLine="200"/>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60" w:lineRule="auto"/>
      <w:textAlignment w:val="baseline"/>
    </w:pPr>
    <w:rPr>
      <w:rFonts w:ascii="HCI Tulip" w:eastAsia="휴먼명조"/>
      <w:color w:val="000000"/>
      <w:w w:val="95"/>
      <w:sz w:val="18"/>
      <w:spacing w:val="-6"/>
    </w:rPr>
  </w:style>
  <w:style w:type="paragraph" w:customStyle="1" w:styleId="a7">
    <w:name w:val="그림"/>
    <w:uiPriority w:val="5"/>
    <w:aliases w:val="표제목"/>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중고딕" w:eastAsia="한양중고딕"/>
      <w:color w:val="000000"/>
      <w:w w:val="95"/>
      <w:sz w:val="18"/>
      <w:spacing w:val="-9"/>
    </w:rPr>
  </w:style>
  <w:style w:type="paragraph" w:customStyle="1" w:styleId="a8">
    <w:name w:val="표안"/>
    <w:uiPriority w:val="6"/>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12" w:lineRule="auto"/>
      <w:textAlignment w:val="baseline"/>
    </w:pPr>
    <w:rPr>
      <w:rFonts w:ascii="HCI Poppy" w:eastAsia="휴먼명조"/>
      <w:color w:val="000000"/>
      <w:w w:val="95"/>
      <w:sz w:val="16"/>
      <w:spacing w:val="-8"/>
    </w:rPr>
  </w:style>
  <w:style w:type="paragraph" w:customStyle="1" w:styleId="a9">
    <w:name w:val="영문제목"/>
    <w:uiPriority w:val="7"/>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b/>
      <w:color w:val="000000"/>
      <w:sz w:val="28"/>
    </w:rPr>
  </w:style>
  <w:style w:type="paragraph" w:customStyle="1" w:styleId="aa">
    <w:name w:val="저자"/>
    <w:uiPriority w:val="8"/>
    <w:aliases w:val="소속명"/>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HCI Poppy" w:eastAsia="휴먼명조"/>
      <w:color w:val="000000"/>
    </w:rPr>
  </w:style>
  <w:style w:type="paragraph" w:customStyle="1" w:styleId="ab">
    <w:name w:val="요약"/>
    <w:uiPriority w:val="9"/>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color w:val="000000"/>
      <w:sz w:val="18"/>
    </w:rPr>
  </w:style>
  <w:style w:type="paragraph" w:customStyle="1" w:styleId="1">
    <w:name w:val="1."/>
    <w:uiPriority w:val="10"/>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b/>
      <w:color w:val="000000"/>
    </w:rPr>
  </w:style>
  <w:style w:type="paragraph" w:customStyle="1" w:styleId="ac">
    <w:name w:val="논문 내용"/>
    <w:uiPriority w:val="11"/>
    <w:pPr>
      <w:ind w:firstLine="227"/>
      <w:autoSpaceDE w:val="off"/>
      <w:autoSpaceDN w:val="off"/>
      <w:widowControl w:val="off"/>
      <w:wordWrap w:val="off"/>
      <w:pBdr>
        <w:top w:val="none" w:sz="2" w:space="1" w:color="000000"/>
        <w:left w:val="none" w:sz="2" w:space="4" w:color="000000"/>
        <w:bottom w:val="none" w:sz="2" w:space="1" w:color="000000"/>
        <w:right w:val="none" w:sz="2" w:space="4" w:color="000000"/>
      </w:pBdr>
      <w:spacing w:after="0" w:line="240" w:lineRule="auto"/>
      <w:textAlignment w:val="baseline"/>
    </w:pPr>
    <w:rPr>
      <w:rFonts w:ascii="Times New Roman" w:eastAsia="바탕체"/>
      <w:color w:val="000000"/>
      <w:kern w:val="1"/>
    </w:rPr>
  </w:style>
  <w:style w:type="paragraph" w:styleId="ad">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d"/>
  </w:style>
  <w:style w:type="paragraph" w:styleId="ae">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e"/>
  </w:style>
  <w:style w:type="paragraph" w:styleId="af">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f"/>
    <w:semiHidden/>
    <w:rPr>
      <w:rFonts w:asciiTheme="majorHAnsi" w:eastAsiaTheme="majorEastAsia" w:hAnsiTheme="majorHAnsi" w:cstheme="majorBidi"/>
      <w:sz w:val="18"/>
      <w:szCs w:val="18"/>
    </w:rPr>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
    <w:name w:val="caption"/>
    <w:uiPriority w:val="35"/>
    <w:basedOn w:val="a"/>
    <w:next w:val="a"/>
    <w:qFormat/>
    <w:unhideWhenUsed/>
    <w:rPr>
      <w:b/>
      <w:bCs/>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6"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국문제목 ( 스타일 : 국문 제목 )</dc:title>
  <dc:subject/>
  <dc:creator>admin</dc:creator>
  <cp:keywords/>
  <dc:description/>
  <cp:lastModifiedBy>USER</cp:lastModifiedBy>
  <cp:revision>1</cp:revision>
  <dcterms:created xsi:type="dcterms:W3CDTF">2022-08-23T06:18:00Z</dcterms:created>
  <dcterms:modified xsi:type="dcterms:W3CDTF">2026-01-16T06:38:00Z</dcterms:modified>
  <cp:lastPrinted>2022-08-23T04:46:00Z</cp:lastPrinted>
  <cp:version>1200.0100.01</cp:version>
</cp:coreProperties>
</file>