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BE3480" w14:textId="5E6B68E7" w:rsidR="00D636AB" w:rsidRPr="000B3118" w:rsidRDefault="000B3118" w:rsidP="000B3118">
      <w:pPr>
        <w:spacing w:after="0" w:line="240" w:lineRule="auto"/>
        <w:jc w:val="center"/>
        <w:rPr>
          <w:rFonts w:ascii="Arial" w:hAnsi="Arial" w:cs="Arial"/>
          <w:sz w:val="28"/>
          <w:szCs w:val="32"/>
        </w:rPr>
      </w:pPr>
      <w:r w:rsidRPr="000B3118">
        <w:rPr>
          <w:rFonts w:ascii="Arial" w:hAnsi="Arial" w:cs="Arial"/>
          <w:b/>
          <w:sz w:val="28"/>
          <w:szCs w:val="32"/>
        </w:rPr>
        <w:t>Gut Microbiome Differences Between Two Dietary Groups</w:t>
      </w:r>
    </w:p>
    <w:p w14:paraId="58AD663A" w14:textId="1F48F7BE" w:rsidR="000B3118" w:rsidRPr="0040282D" w:rsidRDefault="000B3118" w:rsidP="000B3118">
      <w:pPr>
        <w:spacing w:after="0" w:line="240" w:lineRule="auto"/>
        <w:jc w:val="center"/>
        <w:rPr>
          <w:rFonts w:ascii="Arial" w:hAnsi="Arial" w:cs="Arial"/>
          <w:i/>
          <w:iCs/>
          <w:sz w:val="21"/>
          <w:szCs w:val="22"/>
        </w:rPr>
      </w:pPr>
      <w:r w:rsidRPr="0040282D">
        <w:rPr>
          <w:rFonts w:ascii="Arial" w:hAnsi="Arial" w:cs="Arial"/>
          <w:i/>
          <w:iCs/>
          <w:sz w:val="21"/>
          <w:szCs w:val="22"/>
        </w:rPr>
        <w:t>Lily Zhang</w:t>
      </w:r>
    </w:p>
    <w:p w14:paraId="4D2DCC14" w14:textId="1135F59D" w:rsidR="000B3118" w:rsidRPr="0040282D" w:rsidRDefault="000B3118" w:rsidP="000B3118">
      <w:pPr>
        <w:spacing w:after="0" w:line="240" w:lineRule="auto"/>
        <w:jc w:val="center"/>
        <w:rPr>
          <w:rFonts w:ascii="Arial" w:hAnsi="Arial" w:cs="Arial"/>
          <w:i/>
          <w:iCs/>
          <w:sz w:val="21"/>
          <w:szCs w:val="22"/>
        </w:rPr>
      </w:pPr>
      <w:r w:rsidRPr="0040282D">
        <w:rPr>
          <w:rFonts w:ascii="Arial" w:hAnsi="Arial" w:cs="Arial"/>
          <w:i/>
          <w:iCs/>
          <w:sz w:val="21"/>
          <w:szCs w:val="22"/>
        </w:rPr>
        <w:t>August 7, 2026</w:t>
      </w:r>
    </w:p>
    <w:p w14:paraId="019D5D7B" w14:textId="77777777" w:rsidR="0040282D" w:rsidRDefault="0040282D" w:rsidP="00051E35">
      <w:pPr>
        <w:spacing w:after="120" w:line="120" w:lineRule="auto"/>
        <w:rPr>
          <w:rFonts w:ascii="Arial" w:hAnsi="Arial" w:cs="Arial"/>
        </w:rPr>
      </w:pPr>
    </w:p>
    <w:p w14:paraId="7D07D91A" w14:textId="77777777" w:rsidR="0040282D" w:rsidRPr="00F01CEA" w:rsidRDefault="0040282D" w:rsidP="00051E35">
      <w:pPr>
        <w:spacing w:after="120" w:line="120" w:lineRule="auto"/>
        <w:rPr>
          <w:rFonts w:ascii="Arial" w:hAnsi="Arial" w:cs="Arial"/>
          <w:b/>
          <w:bCs/>
          <w:sz w:val="24"/>
        </w:rPr>
      </w:pPr>
      <w:r w:rsidRPr="00F01CEA">
        <w:rPr>
          <w:rFonts w:ascii="Arial" w:hAnsi="Arial" w:cs="Arial"/>
          <w:b/>
          <w:bCs/>
          <w:sz w:val="24"/>
        </w:rPr>
        <w:t xml:space="preserve">Study Aim </w:t>
      </w:r>
    </w:p>
    <w:p w14:paraId="4E971035" w14:textId="1CA8A99D" w:rsidR="0040282D" w:rsidRDefault="0040282D" w:rsidP="00051E35">
      <w:pPr>
        <w:spacing w:after="120" w:line="120" w:lineRule="auto"/>
        <w:rPr>
          <w:rFonts w:ascii="Arial" w:hAnsi="Arial" w:cs="Arial"/>
        </w:rPr>
      </w:pPr>
      <w:r w:rsidRPr="0040282D">
        <w:rPr>
          <w:rFonts w:ascii="Arial" w:hAnsi="Arial" w:cs="Arial"/>
        </w:rPr>
        <w:t xml:space="preserve">The analysis focuses on whether gut microbial communities differ between two dietary groups: children consuming a Mediterranean diet and children consuming a plant-based rural diet described as vegetarian </w:t>
      </w:r>
      <w:r>
        <w:rPr>
          <w:rFonts w:ascii="Arial" w:hAnsi="Arial" w:cs="Arial"/>
        </w:rPr>
        <w:t>(</w:t>
      </w:r>
      <w:r w:rsidRPr="0040282D">
        <w:rPr>
          <w:rFonts w:ascii="Arial" w:hAnsi="Arial" w:cs="Arial"/>
        </w:rPr>
        <w:t>sorghum, millet, and black-eyed peas</w:t>
      </w:r>
      <w:r>
        <w:rPr>
          <w:rFonts w:ascii="Arial" w:hAnsi="Arial" w:cs="Arial"/>
        </w:rPr>
        <w:t>)</w:t>
      </w:r>
      <w:r w:rsidRPr="0040282D">
        <w:rPr>
          <w:rFonts w:ascii="Arial" w:hAnsi="Arial" w:cs="Arial"/>
        </w:rPr>
        <w:t xml:space="preserve">. The central analytical question is whether these two dietary groups show detectable differences in </w:t>
      </w:r>
      <w:r w:rsidR="00574CC3">
        <w:rPr>
          <w:rFonts w:ascii="Arial" w:hAnsi="Arial" w:cs="Arial"/>
        </w:rPr>
        <w:t xml:space="preserve">gut </w:t>
      </w:r>
      <w:r w:rsidRPr="0040282D">
        <w:rPr>
          <w:rFonts w:ascii="Arial" w:hAnsi="Arial" w:cs="Arial"/>
        </w:rPr>
        <w:t>microbial composition, within-sample diversity, between-sample community structure, and genus-level abundance.</w:t>
      </w:r>
      <w:r w:rsidR="00574CC3">
        <w:rPr>
          <w:rFonts w:ascii="Arial" w:hAnsi="Arial" w:cs="Arial"/>
        </w:rPr>
        <w:t xml:space="preserve"> </w:t>
      </w:r>
    </w:p>
    <w:p w14:paraId="65227B19" w14:textId="70A5B308" w:rsidR="000B3118" w:rsidRPr="00F01CEA" w:rsidRDefault="0040282D" w:rsidP="00051E35">
      <w:pPr>
        <w:spacing w:after="120" w:line="120" w:lineRule="auto"/>
        <w:rPr>
          <w:rFonts w:ascii="Arial" w:hAnsi="Arial" w:cs="Arial"/>
          <w:b/>
          <w:bCs/>
          <w:sz w:val="24"/>
          <w:szCs w:val="28"/>
        </w:rPr>
      </w:pPr>
      <w:r w:rsidRPr="00F01CEA">
        <w:rPr>
          <w:rFonts w:ascii="Arial" w:hAnsi="Arial" w:cs="Arial"/>
          <w:b/>
          <w:bCs/>
          <w:sz w:val="24"/>
          <w:szCs w:val="28"/>
        </w:rPr>
        <w:t>Dataset Overview</w:t>
      </w:r>
      <w:r w:rsidR="00574CC3" w:rsidRPr="00F01CEA">
        <w:rPr>
          <w:rFonts w:ascii="Arial" w:hAnsi="Arial" w:cs="Arial"/>
          <w:b/>
          <w:bCs/>
          <w:sz w:val="24"/>
          <w:szCs w:val="28"/>
        </w:rPr>
        <w:t xml:space="preserve"> </w:t>
      </w:r>
    </w:p>
    <w:p w14:paraId="036C4B9C" w14:textId="152A34FB" w:rsidR="00F01CEA" w:rsidRPr="00F01CEA" w:rsidRDefault="00F01CEA" w:rsidP="00051E35">
      <w:pPr>
        <w:spacing w:after="120" w:line="120" w:lineRule="auto"/>
        <w:rPr>
          <w:rFonts w:ascii="Arial" w:hAnsi="Arial" w:cs="Arial"/>
          <w:b/>
          <w:bCs/>
        </w:rPr>
      </w:pPr>
      <w:r w:rsidRPr="00F01CEA">
        <w:rPr>
          <w:rFonts w:ascii="Arial" w:hAnsi="Arial" w:cs="Arial"/>
          <w:b/>
          <w:bCs/>
        </w:rPr>
        <w:t xml:space="preserve">The raw dataset </w:t>
      </w:r>
      <w:r w:rsidRPr="00F01CEA">
        <w:rPr>
          <w:rFonts w:ascii="Arial" w:hAnsi="Arial" w:cs="Arial"/>
          <w:b/>
          <w:bCs/>
        </w:rPr>
        <w:t>(HTML output Section 3.1)</w:t>
      </w:r>
    </w:p>
    <w:p w14:paraId="4A9D59DF" w14:textId="6BEE9292" w:rsidR="00051E35" w:rsidRDefault="00051E35" w:rsidP="00051E35">
      <w:pPr>
        <w:spacing w:after="120" w:line="120" w:lineRule="auto"/>
        <w:rPr>
          <w:rFonts w:ascii="Arial" w:hAnsi="Arial" w:cs="Arial"/>
        </w:rPr>
      </w:pPr>
      <w:r w:rsidRPr="00051E35">
        <w:rPr>
          <w:rFonts w:ascii="Arial" w:hAnsi="Arial" w:cs="Arial"/>
        </w:rPr>
        <w:t>The dataset</w:t>
      </w:r>
      <w:r w:rsidR="003E253E">
        <w:rPr>
          <w:rFonts w:ascii="Arial" w:hAnsi="Arial" w:cs="Arial"/>
        </w:rPr>
        <w:t xml:space="preserve"> (</w:t>
      </w:r>
      <w:r w:rsidR="003E253E" w:rsidRPr="003E253E">
        <w:rPr>
          <w:rFonts w:ascii="Arial" w:hAnsi="Arial" w:cs="Arial"/>
        </w:rPr>
        <w:fldChar w:fldCharType="begin"/>
      </w:r>
      <w:r w:rsidR="003E253E" w:rsidRPr="003E253E">
        <w:rPr>
          <w:rFonts w:ascii="Arial" w:hAnsi="Arial" w:cs="Arial"/>
        </w:rPr>
        <w:instrText>HYPERLINK "https://www.ebi.ac.uk/ena/browser/view/ERP000133"</w:instrText>
      </w:r>
      <w:r w:rsidR="003E253E" w:rsidRPr="003E253E">
        <w:rPr>
          <w:rFonts w:ascii="Arial" w:hAnsi="Arial" w:cs="Arial"/>
        </w:rPr>
      </w:r>
      <w:r w:rsidR="003E253E" w:rsidRPr="003E253E">
        <w:rPr>
          <w:rFonts w:ascii="Arial" w:hAnsi="Arial" w:cs="Arial"/>
        </w:rPr>
        <w:fldChar w:fldCharType="separate"/>
      </w:r>
      <w:r w:rsidR="003E253E" w:rsidRPr="003E253E">
        <w:rPr>
          <w:rStyle w:val="ae"/>
          <w:rFonts w:ascii="Arial" w:hAnsi="Arial" w:cs="Arial"/>
        </w:rPr>
        <w:t>ENA Project: ERP000133</w:t>
      </w:r>
      <w:r w:rsidR="003E253E" w:rsidRPr="003E253E">
        <w:rPr>
          <w:rFonts w:ascii="Arial" w:hAnsi="Arial" w:cs="Arial"/>
        </w:rPr>
        <w:fldChar w:fldCharType="end"/>
      </w:r>
      <w:r w:rsidR="003E253E">
        <w:rPr>
          <w:rFonts w:ascii="Arial" w:hAnsi="Arial" w:cs="Arial"/>
        </w:rPr>
        <w:t>)</w:t>
      </w:r>
      <w:r w:rsidRPr="00051E35">
        <w:rPr>
          <w:rFonts w:ascii="Arial" w:hAnsi="Arial" w:cs="Arial"/>
        </w:rPr>
        <w:t xml:space="preserve"> includes 29 samples: 15 from the Mediterranean diet group and 14 from the vegetarian diet group. Raw sequencing depth varied across samples, ranging from 9,633 to 25,647 reads per sample, with a median of 15,583 and a mean of 16,210 reads. Total raw reads were broadly comparable between groups: 243,231 reads in the Mediterranean group and 226</w:t>
      </w:r>
      <w:r w:rsidR="003E253E">
        <w:rPr>
          <w:rFonts w:ascii="Arial" w:hAnsi="Arial" w:cs="Arial"/>
        </w:rPr>
        <w:t>,</w:t>
      </w:r>
      <w:r w:rsidRPr="00051E35">
        <w:rPr>
          <w:rFonts w:ascii="Arial" w:hAnsi="Arial" w:cs="Arial"/>
        </w:rPr>
        <w:t>864 reads in the vegetarian group</w:t>
      </w:r>
      <w:r w:rsidR="003E253E">
        <w:rPr>
          <w:rFonts w:ascii="Arial" w:hAnsi="Arial" w:cs="Arial"/>
        </w:rPr>
        <w:t>,</w:t>
      </w:r>
      <w:r w:rsidRPr="00051E35">
        <w:rPr>
          <w:rFonts w:ascii="Arial" w:hAnsi="Arial" w:cs="Arial"/>
        </w:rPr>
        <w:t xml:space="preserve"> suggest</w:t>
      </w:r>
      <w:r w:rsidR="003E253E">
        <w:rPr>
          <w:rFonts w:ascii="Arial" w:hAnsi="Arial" w:cs="Arial"/>
        </w:rPr>
        <w:t>ing</w:t>
      </w:r>
      <w:r w:rsidRPr="00051E35">
        <w:rPr>
          <w:rFonts w:ascii="Arial" w:hAnsi="Arial" w:cs="Arial"/>
        </w:rPr>
        <w:t xml:space="preserve"> that the two groups are reasonably balanced in total sequencing effort.</w:t>
      </w:r>
      <w:r w:rsidR="003E253E">
        <w:rPr>
          <w:rFonts w:ascii="Arial" w:hAnsi="Arial" w:cs="Arial"/>
        </w:rPr>
        <w:t xml:space="preserve"> </w:t>
      </w:r>
    </w:p>
    <w:p w14:paraId="0CD017AE" w14:textId="00781B41" w:rsidR="00F01CEA" w:rsidRPr="00F01CEA" w:rsidRDefault="000C51EE" w:rsidP="00051E35">
      <w:pPr>
        <w:spacing w:after="120" w:line="12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</w:t>
      </w:r>
      <w:r w:rsidRPr="000C51EE">
        <w:rPr>
          <w:rFonts w:ascii="Arial" w:hAnsi="Arial" w:cs="Arial"/>
          <w:b/>
          <w:bCs/>
        </w:rPr>
        <w:t>ummary of quality scores and sequence truncation</w:t>
      </w:r>
      <w:r w:rsidR="00F01CEA" w:rsidRPr="00F01CEA">
        <w:rPr>
          <w:rFonts w:ascii="Arial" w:hAnsi="Arial" w:cs="Arial"/>
          <w:b/>
          <w:bCs/>
        </w:rPr>
        <w:t xml:space="preserve"> </w:t>
      </w:r>
      <w:r w:rsidR="00F01CEA" w:rsidRPr="00F01CEA">
        <w:rPr>
          <w:rFonts w:ascii="Arial" w:hAnsi="Arial" w:cs="Arial"/>
          <w:b/>
          <w:bCs/>
        </w:rPr>
        <w:t>(HTML output Section 3</w:t>
      </w:r>
      <w:r w:rsidR="00F01CEA">
        <w:rPr>
          <w:rFonts w:ascii="Arial" w:hAnsi="Arial" w:cs="Arial"/>
          <w:b/>
          <w:bCs/>
        </w:rPr>
        <w:t>, 4.1</w:t>
      </w:r>
      <w:r w:rsidR="00F01CEA" w:rsidRPr="00F01CEA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 xml:space="preserve"> </w:t>
      </w:r>
    </w:p>
    <w:p w14:paraId="23E4B139" w14:textId="447B6CCD" w:rsidR="00965668" w:rsidRDefault="00965668" w:rsidP="00F01CEA">
      <w:pPr>
        <w:spacing w:after="120" w:line="120" w:lineRule="auto"/>
        <w:rPr>
          <w:rFonts w:ascii="Arial" w:hAnsi="Arial" w:cs="Arial"/>
        </w:rPr>
      </w:pPr>
      <w:r w:rsidRPr="00965668">
        <w:rPr>
          <w:rFonts w:ascii="Arial" w:hAnsi="Arial" w:cs="Arial"/>
        </w:rPr>
        <w:t xml:space="preserve">Read quality was assessed using DADA2 </w:t>
      </w:r>
      <w:r>
        <w:rPr>
          <w:rFonts w:ascii="Arial" w:hAnsi="Arial" w:cs="Arial"/>
        </w:rPr>
        <w:t>‘</w:t>
      </w:r>
      <w:proofErr w:type="spellStart"/>
      <w:proofErr w:type="gramStart"/>
      <w:r w:rsidRPr="00965668">
        <w:rPr>
          <w:rFonts w:ascii="Arial" w:hAnsi="Arial" w:cs="Arial"/>
        </w:rPr>
        <w:t>plotQualityProfile</w:t>
      </w:r>
      <w:proofErr w:type="spellEnd"/>
      <w:r w:rsidRPr="00965668">
        <w:rPr>
          <w:rFonts w:ascii="Arial" w:hAnsi="Arial" w:cs="Arial"/>
        </w:rPr>
        <w:t>(</w:t>
      </w:r>
      <w:proofErr w:type="gramEnd"/>
      <w:r w:rsidRPr="00965668">
        <w:rPr>
          <w:rFonts w:ascii="Arial" w:hAnsi="Arial" w:cs="Arial"/>
        </w:rPr>
        <w:t>)</w:t>
      </w:r>
      <w:r>
        <w:rPr>
          <w:rFonts w:ascii="Arial" w:hAnsi="Arial" w:cs="Arial"/>
        </w:rPr>
        <w:t>’</w:t>
      </w:r>
      <w:r w:rsidRPr="00965668">
        <w:rPr>
          <w:rFonts w:ascii="Arial" w:hAnsi="Arial" w:cs="Arial"/>
        </w:rPr>
        <w:t xml:space="preserve"> output</w:t>
      </w:r>
      <w:r>
        <w:rPr>
          <w:rFonts w:ascii="Arial" w:hAnsi="Arial" w:cs="Arial"/>
        </w:rPr>
        <w:t xml:space="preserve"> (Section 3.1.1)</w:t>
      </w:r>
      <w:r w:rsidRPr="0096566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The </w:t>
      </w:r>
      <w:r w:rsidRPr="00965668">
        <w:rPr>
          <w:rFonts w:ascii="Arial" w:hAnsi="Arial" w:cs="Arial"/>
        </w:rPr>
        <w:t>average quality scores were generally around Q30</w:t>
      </w:r>
      <w:r>
        <w:rPr>
          <w:rFonts w:ascii="Arial" w:hAnsi="Arial" w:cs="Arial"/>
        </w:rPr>
        <w:t>-</w:t>
      </w:r>
      <w:r w:rsidRPr="00965668">
        <w:rPr>
          <w:rFonts w:ascii="Arial" w:hAnsi="Arial" w:cs="Arial"/>
        </w:rPr>
        <w:t>Q40</w:t>
      </w:r>
      <w:r>
        <w:rPr>
          <w:rFonts w:ascii="Arial" w:hAnsi="Arial" w:cs="Arial"/>
        </w:rPr>
        <w:t xml:space="preserve"> </w:t>
      </w:r>
      <w:r w:rsidRPr="00965668">
        <w:rPr>
          <w:rFonts w:ascii="Arial" w:hAnsi="Arial" w:cs="Arial"/>
        </w:rPr>
        <w:t>before 300 bp,</w:t>
      </w:r>
      <w:r>
        <w:rPr>
          <w:rFonts w:ascii="Arial" w:hAnsi="Arial" w:cs="Arial"/>
        </w:rPr>
        <w:t xml:space="preserve"> </w:t>
      </w:r>
      <w:r w:rsidRPr="00965668">
        <w:rPr>
          <w:rFonts w:ascii="Arial" w:hAnsi="Arial" w:cs="Arial"/>
        </w:rPr>
        <w:t xml:space="preserve">indicating low expected base-call error in this region. After approximately 300 bp, quality scores declined to around Q10-Q20, indicating a clear deterioration in read quality. This pattern supports trimming or filtering reads around the 300 bp </w:t>
      </w:r>
      <w:r w:rsidRPr="00965668">
        <w:rPr>
          <w:rFonts w:ascii="Arial" w:hAnsi="Arial" w:cs="Arial"/>
        </w:rPr>
        <w:t>regions</w:t>
      </w:r>
      <w:r w:rsidRPr="0096566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965668">
        <w:rPr>
          <w:rFonts w:ascii="Arial" w:hAnsi="Arial" w:cs="Arial"/>
        </w:rPr>
        <w:t>The filtering strategy retained reads between 200 and 310 b</w:t>
      </w:r>
      <w:r>
        <w:rPr>
          <w:rFonts w:ascii="Arial" w:hAnsi="Arial" w:cs="Arial"/>
        </w:rPr>
        <w:t xml:space="preserve">p for two reasons: 1) most samples had </w:t>
      </w:r>
      <w:r w:rsidRPr="00965668">
        <w:rPr>
          <w:rFonts w:ascii="Arial" w:hAnsi="Arial" w:cs="Arial"/>
        </w:rPr>
        <w:t xml:space="preserve">median read lengths close to </w:t>
      </w:r>
      <w:r>
        <w:rPr>
          <w:rFonts w:ascii="Arial" w:hAnsi="Arial" w:cs="Arial"/>
        </w:rPr>
        <w:t>300</w:t>
      </w:r>
      <w:r w:rsidRPr="00965668">
        <w:rPr>
          <w:rFonts w:ascii="Arial" w:hAnsi="Arial" w:cs="Arial"/>
        </w:rPr>
        <w:t xml:space="preserve"> bp</w:t>
      </w:r>
      <w:r>
        <w:rPr>
          <w:rFonts w:ascii="Arial" w:hAnsi="Arial" w:cs="Arial"/>
        </w:rPr>
        <w:t xml:space="preserve">; 2) </w:t>
      </w:r>
      <w:r>
        <w:rPr>
          <w:rFonts w:ascii="Arial" w:hAnsi="Arial" w:cs="Arial"/>
        </w:rPr>
        <w:t>to remove overly long low-quality tails</w:t>
      </w:r>
      <w:r>
        <w:rPr>
          <w:rFonts w:ascii="Arial" w:hAnsi="Arial" w:cs="Arial"/>
        </w:rPr>
        <w:t xml:space="preserve">. </w:t>
      </w:r>
    </w:p>
    <w:p w14:paraId="50AD3E66" w14:textId="56DA3B6C" w:rsidR="00F01CEA" w:rsidRDefault="00F01CEA" w:rsidP="00F01CEA">
      <w:pPr>
        <w:spacing w:after="120" w:line="120" w:lineRule="auto"/>
        <w:rPr>
          <w:rFonts w:ascii="Arial" w:hAnsi="Arial" w:cs="Arial"/>
        </w:rPr>
      </w:pPr>
      <w:r w:rsidRPr="00F01CEA">
        <w:rPr>
          <w:rFonts w:ascii="Arial" w:hAnsi="Arial" w:cs="Arial"/>
        </w:rPr>
        <w:t>After filtering and trimming</w:t>
      </w:r>
      <w:r w:rsidR="00965668">
        <w:rPr>
          <w:rFonts w:ascii="Arial" w:hAnsi="Arial" w:cs="Arial"/>
        </w:rPr>
        <w:t xml:space="preserve"> (Section 3.2)</w:t>
      </w:r>
      <w:r w:rsidRPr="00F01CEA">
        <w:rPr>
          <w:rFonts w:ascii="Arial" w:hAnsi="Arial" w:cs="Arial"/>
        </w:rPr>
        <w:t xml:space="preserve">, </w:t>
      </w:r>
      <w:proofErr w:type="spellStart"/>
      <w:r w:rsidRPr="00F01CEA">
        <w:rPr>
          <w:rFonts w:ascii="Arial" w:hAnsi="Arial" w:cs="Arial"/>
        </w:rPr>
        <w:t>reads.out</w:t>
      </w:r>
      <w:proofErr w:type="spellEnd"/>
      <w:r w:rsidRPr="00F01CEA">
        <w:rPr>
          <w:rFonts w:ascii="Arial" w:hAnsi="Arial" w:cs="Arial"/>
        </w:rPr>
        <w:t xml:space="preserve"> ranged from 7,531 to 19,369 reads per sample, with a median of 11,649 and a mean of 12,456. The overall mean read-retention rate was 0.770, and the median retention rate was 0.775. Retention was slightly higher in the Mediterranean group, with a mean of 0.7866, compared with 0.7489 in the vegetarian group. This suggests that the vegetarian group may have had slightly more low-quality, short, or otherwise filtered reads, although both groups retained sufficient reads for downstream analysis.</w:t>
      </w:r>
      <w:r>
        <w:rPr>
          <w:rFonts w:ascii="Arial" w:hAnsi="Arial" w:cs="Arial"/>
        </w:rPr>
        <w:t xml:space="preserve"> </w:t>
      </w:r>
    </w:p>
    <w:p w14:paraId="41A50339" w14:textId="20C9836F" w:rsidR="00F01CEA" w:rsidRPr="00F01CEA" w:rsidRDefault="00F01CEA" w:rsidP="00F01CEA">
      <w:pPr>
        <w:spacing w:after="120" w:line="120" w:lineRule="auto"/>
        <w:rPr>
          <w:rFonts w:ascii="Arial" w:hAnsi="Arial" w:cs="Arial"/>
        </w:rPr>
      </w:pPr>
      <w:r w:rsidRPr="00F01CEA">
        <w:rPr>
          <w:rFonts w:ascii="Arial" w:hAnsi="Arial" w:cs="Arial"/>
        </w:rPr>
        <w:t>The final non-chimeric read count represented approximately 60.0% of raw reads</w:t>
      </w:r>
      <w:r w:rsidR="005E5AB3">
        <w:rPr>
          <w:rFonts w:ascii="Arial" w:hAnsi="Arial" w:cs="Arial"/>
        </w:rPr>
        <w:t xml:space="preserve"> (Section 4.1.2)</w:t>
      </w:r>
      <w:r w:rsidRPr="00F01CEA">
        <w:rPr>
          <w:rFonts w:ascii="Arial" w:hAnsi="Arial" w:cs="Arial"/>
        </w:rPr>
        <w:t>. The chimera-removal step retained 80.98% of reads relative to the sequence table before chimera removal.</w:t>
      </w:r>
      <w:r>
        <w:rPr>
          <w:rFonts w:ascii="Arial" w:hAnsi="Arial" w:cs="Arial"/>
        </w:rPr>
        <w:t xml:space="preserve"> </w:t>
      </w:r>
    </w:p>
    <w:p w14:paraId="64340427" w14:textId="4F24B9BE" w:rsidR="0040282D" w:rsidRPr="007346A7" w:rsidRDefault="00121FC3" w:rsidP="00051E35">
      <w:pPr>
        <w:spacing w:after="120" w:line="120" w:lineRule="auto"/>
        <w:rPr>
          <w:rFonts w:ascii="Arial" w:hAnsi="Arial" w:cs="Arial"/>
          <w:b/>
          <w:bCs/>
          <w:sz w:val="24"/>
        </w:rPr>
      </w:pPr>
      <w:r w:rsidRPr="007346A7">
        <w:rPr>
          <w:rFonts w:ascii="Arial" w:hAnsi="Arial" w:cs="Arial"/>
          <w:b/>
          <w:bCs/>
          <w:sz w:val="24"/>
        </w:rPr>
        <w:lastRenderedPageBreak/>
        <w:t>Analytical Workflow</w:t>
      </w:r>
      <w:r w:rsidRPr="007346A7">
        <w:rPr>
          <w:rFonts w:ascii="Arial" w:hAnsi="Arial" w:cs="Arial"/>
          <w:b/>
          <w:bCs/>
          <w:sz w:val="24"/>
        </w:rPr>
        <w:t xml:space="preserve"> </w:t>
      </w:r>
      <w:r w:rsidR="007346A7" w:rsidRPr="007346A7">
        <w:rPr>
          <w:rFonts w:ascii="Arial" w:hAnsi="Arial" w:cs="Arial"/>
          <w:b/>
          <w:bCs/>
          <w:sz w:val="24"/>
        </w:rPr>
        <w:t xml:space="preserve">and </w:t>
      </w:r>
      <w:r w:rsidR="007346A7" w:rsidRPr="007346A7">
        <w:rPr>
          <w:rFonts w:ascii="Arial" w:hAnsi="Arial" w:cs="Arial"/>
          <w:b/>
          <w:bCs/>
          <w:sz w:val="24"/>
        </w:rPr>
        <w:t>Statistical Methods</w:t>
      </w:r>
      <w:r w:rsidR="007346A7">
        <w:rPr>
          <w:rFonts w:ascii="Arial" w:hAnsi="Arial" w:cs="Arial"/>
          <w:b/>
          <w:bCs/>
          <w:sz w:val="24"/>
        </w:rPr>
        <w:t xml:space="preserve"> </w:t>
      </w:r>
    </w:p>
    <w:p w14:paraId="5FCD6E98" w14:textId="245A28E5" w:rsidR="00121FC3" w:rsidRPr="00121FC3" w:rsidRDefault="00121FC3" w:rsidP="00121FC3">
      <w:pPr>
        <w:spacing w:after="120" w:line="120" w:lineRule="auto"/>
        <w:rPr>
          <w:rFonts w:ascii="Arial" w:hAnsi="Arial" w:cs="Arial"/>
        </w:rPr>
      </w:pPr>
      <w:r w:rsidRPr="00121FC3">
        <w:rPr>
          <w:rFonts w:ascii="Arial" w:hAnsi="Arial" w:cs="Arial"/>
        </w:rPr>
        <w:t xml:space="preserve">The analysis used a standard DADA2 workflow. First, FASTQ files and </w:t>
      </w:r>
      <w:r>
        <w:rPr>
          <w:rFonts w:ascii="Arial" w:hAnsi="Arial" w:cs="Arial"/>
        </w:rPr>
        <w:t>participant</w:t>
      </w:r>
      <w:r w:rsidRPr="00121FC3">
        <w:rPr>
          <w:rFonts w:ascii="Arial" w:hAnsi="Arial" w:cs="Arial"/>
        </w:rPr>
        <w:t xml:space="preserve"> data were loaded. The diet variable was recoded into </w:t>
      </w:r>
      <w:r>
        <w:rPr>
          <w:rFonts w:ascii="Arial" w:hAnsi="Arial" w:cs="Arial"/>
        </w:rPr>
        <w:t>‘</w:t>
      </w:r>
      <w:r w:rsidRPr="00121FC3">
        <w:rPr>
          <w:rFonts w:ascii="Arial" w:hAnsi="Arial" w:cs="Arial"/>
        </w:rPr>
        <w:t>mediterranean</w:t>
      </w:r>
      <w:r>
        <w:rPr>
          <w:rFonts w:ascii="Arial" w:hAnsi="Arial" w:cs="Arial"/>
        </w:rPr>
        <w:t>’</w:t>
      </w:r>
      <w:r w:rsidRPr="00121FC3"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>‘</w:t>
      </w:r>
      <w:r w:rsidRPr="00121FC3">
        <w:rPr>
          <w:rFonts w:ascii="Arial" w:hAnsi="Arial" w:cs="Arial"/>
        </w:rPr>
        <w:t>vegetarian</w:t>
      </w:r>
      <w:r>
        <w:rPr>
          <w:rFonts w:ascii="Arial" w:hAnsi="Arial" w:cs="Arial"/>
        </w:rPr>
        <w:t>’</w:t>
      </w:r>
      <w:r w:rsidRPr="00121FC3">
        <w:rPr>
          <w:rFonts w:ascii="Arial" w:hAnsi="Arial" w:cs="Arial"/>
        </w:rPr>
        <w:t xml:space="preserve">, with the Mediterranean group set as the reference category. </w:t>
      </w:r>
      <w:r>
        <w:rPr>
          <w:rFonts w:ascii="Arial" w:hAnsi="Arial" w:cs="Arial"/>
        </w:rPr>
        <w:t>T</w:t>
      </w:r>
      <w:r w:rsidRPr="00121FC3">
        <w:rPr>
          <w:rFonts w:ascii="Arial" w:hAnsi="Arial" w:cs="Arial"/>
        </w:rPr>
        <w:t>hen</w:t>
      </w:r>
      <w:r>
        <w:rPr>
          <w:rFonts w:ascii="Arial" w:hAnsi="Arial" w:cs="Arial"/>
        </w:rPr>
        <w:t>,</w:t>
      </w:r>
      <w:r w:rsidRPr="00121FC3">
        <w:rPr>
          <w:rFonts w:ascii="Arial" w:hAnsi="Arial" w:cs="Arial"/>
        </w:rPr>
        <w:t xml:space="preserve"> quality-profile inspection, read-length summarization, filtering, and trimming</w:t>
      </w:r>
      <w:r>
        <w:rPr>
          <w:rFonts w:ascii="Arial" w:hAnsi="Arial" w:cs="Arial"/>
        </w:rPr>
        <w:t xml:space="preserve"> are </w:t>
      </w:r>
      <w:r w:rsidRPr="00121FC3">
        <w:rPr>
          <w:rFonts w:ascii="Arial" w:hAnsi="Arial" w:cs="Arial"/>
        </w:rPr>
        <w:t>performed. Filtered reads were used to learn error rates, followed by dereplication and denoising to infer ASVs.</w:t>
      </w:r>
      <w:r>
        <w:rPr>
          <w:rFonts w:ascii="Arial" w:hAnsi="Arial" w:cs="Arial"/>
        </w:rPr>
        <w:t xml:space="preserve"> </w:t>
      </w:r>
    </w:p>
    <w:p w14:paraId="6718AFA2" w14:textId="32772377" w:rsidR="00121FC3" w:rsidRPr="00121FC3" w:rsidRDefault="00121FC3" w:rsidP="00121FC3">
      <w:pPr>
        <w:spacing w:after="120" w:line="120" w:lineRule="auto"/>
        <w:rPr>
          <w:rFonts w:ascii="Arial" w:hAnsi="Arial" w:cs="Arial"/>
        </w:rPr>
      </w:pPr>
      <w:r w:rsidRPr="00121FC3">
        <w:rPr>
          <w:rFonts w:ascii="Arial" w:hAnsi="Arial" w:cs="Arial"/>
        </w:rPr>
        <w:t xml:space="preserve">After ASV-table construction and chimera removal, 1,716 non-chimeric ASVs were retained. The post-chimera table contained no singletons, five doubletons, and a minimum ASV total abundance of 2. Taxonomy was assigned using the RDP release 19 training set, with classification reported to the genus level. A phylogenetic tree was built by aligning ASV sequences and constructing an initial neighbor-joining tree. The tree was then optimized under a GTR + Gamma + invariant-sites model using maximum likelihood. The ASV table, taxonomy table, tree, and participant metadata were integrated into a </w:t>
      </w:r>
      <w:r>
        <w:rPr>
          <w:rFonts w:ascii="Arial" w:hAnsi="Arial" w:cs="Arial"/>
        </w:rPr>
        <w:t>‘</w:t>
      </w:r>
      <w:proofErr w:type="spellStart"/>
      <w:r w:rsidRPr="00121FC3">
        <w:rPr>
          <w:rFonts w:ascii="Arial" w:hAnsi="Arial" w:cs="Arial"/>
        </w:rPr>
        <w:t>phyloseq</w:t>
      </w:r>
      <w:proofErr w:type="spellEnd"/>
      <w:r>
        <w:rPr>
          <w:rFonts w:ascii="Arial" w:hAnsi="Arial" w:cs="Arial"/>
        </w:rPr>
        <w:t>’</w:t>
      </w:r>
      <w:r w:rsidRPr="00121FC3">
        <w:rPr>
          <w:rFonts w:ascii="Arial" w:hAnsi="Arial" w:cs="Arial"/>
        </w:rPr>
        <w:t xml:space="preserve"> object.</w:t>
      </w:r>
    </w:p>
    <w:p w14:paraId="4908D5A3" w14:textId="589F56F1" w:rsidR="0040282D" w:rsidRDefault="00121FC3" w:rsidP="00121FC3">
      <w:pPr>
        <w:spacing w:after="120" w:line="120" w:lineRule="auto"/>
        <w:rPr>
          <w:rFonts w:ascii="Arial" w:hAnsi="Arial" w:cs="Arial"/>
        </w:rPr>
      </w:pPr>
      <w:r w:rsidRPr="00121FC3">
        <w:rPr>
          <w:rFonts w:ascii="Arial" w:hAnsi="Arial" w:cs="Arial"/>
        </w:rPr>
        <w:t xml:space="preserve">Potential contaminant ASVs were checked by looking for </w:t>
      </w:r>
      <w:r>
        <w:rPr>
          <w:rFonts w:ascii="Arial" w:hAnsi="Arial" w:cs="Arial"/>
          <w:i/>
          <w:iCs/>
        </w:rPr>
        <w:t>C</w:t>
      </w:r>
      <w:r w:rsidRPr="00121FC3">
        <w:rPr>
          <w:rFonts w:ascii="Arial" w:hAnsi="Arial" w:cs="Arial"/>
          <w:i/>
          <w:iCs/>
        </w:rPr>
        <w:t>hloroplast</w:t>
      </w:r>
      <w:r w:rsidRPr="00121FC3">
        <w:rPr>
          <w:rFonts w:ascii="Arial" w:hAnsi="Arial" w:cs="Arial"/>
        </w:rPr>
        <w:t xml:space="preserve"> and </w:t>
      </w:r>
      <w:r>
        <w:rPr>
          <w:rFonts w:ascii="Arial" w:hAnsi="Arial" w:cs="Arial"/>
          <w:i/>
          <w:iCs/>
        </w:rPr>
        <w:t>M</w:t>
      </w:r>
      <w:r w:rsidRPr="00121FC3">
        <w:rPr>
          <w:rFonts w:ascii="Arial" w:hAnsi="Arial" w:cs="Arial"/>
          <w:i/>
          <w:iCs/>
        </w:rPr>
        <w:t>itochondrial</w:t>
      </w:r>
      <w:r w:rsidRPr="00121FC3">
        <w:rPr>
          <w:rFonts w:ascii="Arial" w:hAnsi="Arial" w:cs="Arial"/>
        </w:rPr>
        <w:t xml:space="preserve"> classifications. None were reported. ASVs without Kingdom assignment were removed before downstream analysis, reducing the object from 1,716 to 1,714 ASVs. </w:t>
      </w:r>
      <w:r w:rsidR="007346A7" w:rsidRPr="007346A7">
        <w:rPr>
          <w:rFonts w:ascii="Arial" w:hAnsi="Arial" w:cs="Arial"/>
        </w:rPr>
        <w:t xml:space="preserve">Taxonomic composition was summarized after transforming counts to relative abundance. </w:t>
      </w:r>
      <w:r w:rsidRPr="00121FC3">
        <w:rPr>
          <w:rFonts w:ascii="Arial" w:hAnsi="Arial" w:cs="Arial"/>
        </w:rPr>
        <w:t>Downstream analyses included phylum- and genus-level relative-abundance plots, alpha diversity, beta diversity, PERMANOVA, PERMDISP, and genus-level differential abundance analysis using ANCOM-BC2.</w:t>
      </w:r>
      <w:r>
        <w:rPr>
          <w:rFonts w:ascii="Arial" w:hAnsi="Arial" w:cs="Arial"/>
        </w:rPr>
        <w:t xml:space="preserve"> </w:t>
      </w:r>
      <w:r w:rsidR="00410566" w:rsidRPr="00410566">
        <w:rPr>
          <w:rFonts w:ascii="Arial" w:hAnsi="Arial" w:cs="Arial"/>
        </w:rPr>
        <w:t>Alpha diversity was evaluated using Observed richness, Shannon diversity, and Simpson diversity.</w:t>
      </w:r>
      <w:r w:rsidR="00410566">
        <w:rPr>
          <w:rFonts w:ascii="Arial" w:hAnsi="Arial" w:cs="Arial"/>
        </w:rPr>
        <w:t xml:space="preserve"> </w:t>
      </w:r>
      <w:r w:rsidR="00FE017C" w:rsidRPr="00FE017C">
        <w:rPr>
          <w:rFonts w:ascii="Arial" w:hAnsi="Arial" w:cs="Arial"/>
        </w:rPr>
        <w:t>Beta diversity was evaluated using Bray-</w:t>
      </w:r>
      <w:proofErr w:type="gramStart"/>
      <w:r w:rsidR="00FE017C" w:rsidRPr="00FE017C">
        <w:rPr>
          <w:rFonts w:ascii="Arial" w:hAnsi="Arial" w:cs="Arial"/>
        </w:rPr>
        <w:t>Curtis</w:t>
      </w:r>
      <w:proofErr w:type="gramEnd"/>
      <w:r w:rsidR="00FE017C" w:rsidRPr="00FE017C">
        <w:rPr>
          <w:rFonts w:ascii="Arial" w:hAnsi="Arial" w:cs="Arial"/>
        </w:rPr>
        <w:t xml:space="preserve"> distance and visualized with </w:t>
      </w:r>
      <w:proofErr w:type="spellStart"/>
      <w:r w:rsidR="00FE017C" w:rsidRPr="00FE017C">
        <w:rPr>
          <w:rFonts w:ascii="Arial" w:hAnsi="Arial" w:cs="Arial"/>
        </w:rPr>
        <w:t>PCoA</w:t>
      </w:r>
      <w:proofErr w:type="spellEnd"/>
      <w:r w:rsidR="00FE017C" w:rsidRPr="00FE017C">
        <w:rPr>
          <w:rFonts w:ascii="Arial" w:hAnsi="Arial" w:cs="Arial"/>
        </w:rPr>
        <w:t>.</w:t>
      </w:r>
      <w:r w:rsidR="00FE017C">
        <w:rPr>
          <w:rFonts w:ascii="Arial" w:hAnsi="Arial" w:cs="Arial"/>
        </w:rPr>
        <w:t xml:space="preserve"> </w:t>
      </w:r>
      <w:r w:rsidR="00FE017C" w:rsidRPr="00FE017C">
        <w:rPr>
          <w:rFonts w:ascii="Arial" w:hAnsi="Arial" w:cs="Arial"/>
        </w:rPr>
        <w:t xml:space="preserve">Differential abundance analysis was performed with ANCOM-BC2 on genus-level count data. The model included </w:t>
      </w:r>
      <w:r w:rsidR="00FE017C">
        <w:rPr>
          <w:rFonts w:ascii="Arial" w:hAnsi="Arial" w:cs="Arial"/>
        </w:rPr>
        <w:t>D</w:t>
      </w:r>
      <w:r w:rsidR="00FE017C" w:rsidRPr="00FE017C">
        <w:rPr>
          <w:rFonts w:ascii="Arial" w:hAnsi="Arial" w:cs="Arial"/>
        </w:rPr>
        <w:t>iet as the fixed effect, used BH correction for multiple testing.</w:t>
      </w:r>
      <w:r w:rsidR="00FE017C">
        <w:rPr>
          <w:rFonts w:ascii="Arial" w:hAnsi="Arial" w:cs="Arial"/>
        </w:rPr>
        <w:t xml:space="preserve"> </w:t>
      </w:r>
    </w:p>
    <w:p w14:paraId="1778AF60" w14:textId="51B9BDC3" w:rsidR="00BB2A15" w:rsidRPr="007346A7" w:rsidRDefault="007346A7" w:rsidP="00051E35">
      <w:pPr>
        <w:spacing w:after="120" w:line="120" w:lineRule="auto"/>
        <w:rPr>
          <w:rFonts w:ascii="Arial" w:hAnsi="Arial" w:cs="Arial"/>
          <w:b/>
          <w:bCs/>
          <w:sz w:val="24"/>
          <w:szCs w:val="28"/>
        </w:rPr>
      </w:pPr>
      <w:r w:rsidRPr="007346A7">
        <w:rPr>
          <w:rFonts w:ascii="Arial" w:hAnsi="Arial" w:cs="Arial"/>
          <w:b/>
          <w:bCs/>
          <w:sz w:val="24"/>
          <w:szCs w:val="28"/>
        </w:rPr>
        <w:t xml:space="preserve">Key Findings </w:t>
      </w:r>
    </w:p>
    <w:p w14:paraId="284A9EC5" w14:textId="72CD1001" w:rsidR="007346A7" w:rsidRPr="007346A7" w:rsidRDefault="007346A7" w:rsidP="007346A7">
      <w:pPr>
        <w:spacing w:after="120" w:line="120" w:lineRule="auto"/>
        <w:rPr>
          <w:rFonts w:ascii="Arial" w:hAnsi="Arial" w:cs="Arial"/>
        </w:rPr>
      </w:pPr>
      <w:r w:rsidRPr="007346A7">
        <w:rPr>
          <w:rFonts w:ascii="Arial" w:hAnsi="Arial" w:cs="Arial"/>
          <w:b/>
          <w:bCs/>
        </w:rPr>
        <w:t>Taxonomic composition</w:t>
      </w:r>
      <w:r>
        <w:rPr>
          <w:rFonts w:ascii="Arial" w:hAnsi="Arial" w:cs="Arial"/>
          <w:b/>
          <w:bCs/>
        </w:rPr>
        <w:t xml:space="preserve"> </w:t>
      </w:r>
      <w:r w:rsidR="00410566">
        <w:rPr>
          <w:rFonts w:ascii="Arial" w:hAnsi="Arial" w:cs="Arial"/>
          <w:b/>
          <w:bCs/>
        </w:rPr>
        <w:t>(Section 7.1)</w:t>
      </w:r>
    </w:p>
    <w:p w14:paraId="7EB12E38" w14:textId="3472844F" w:rsidR="007346A7" w:rsidRPr="007346A7" w:rsidRDefault="007346A7" w:rsidP="007346A7">
      <w:pPr>
        <w:spacing w:after="120" w:line="120" w:lineRule="auto"/>
        <w:rPr>
          <w:rFonts w:ascii="Arial" w:hAnsi="Arial" w:cs="Arial"/>
        </w:rPr>
      </w:pPr>
      <w:r w:rsidRPr="007346A7">
        <w:rPr>
          <w:rFonts w:ascii="Arial" w:hAnsi="Arial" w:cs="Arial"/>
        </w:rPr>
        <w:t xml:space="preserve">At the phylum level, the top eight phyla by mean relative abundance were plotted. </w:t>
      </w:r>
      <w:proofErr w:type="spellStart"/>
      <w:r w:rsidRPr="007346A7">
        <w:rPr>
          <w:rFonts w:ascii="Arial" w:hAnsi="Arial" w:cs="Arial"/>
          <w:i/>
          <w:iCs/>
        </w:rPr>
        <w:t>Bacteroidota</w:t>
      </w:r>
      <w:proofErr w:type="spellEnd"/>
      <w:r w:rsidRPr="007346A7">
        <w:rPr>
          <w:rFonts w:ascii="Arial" w:hAnsi="Arial" w:cs="Arial"/>
        </w:rPr>
        <w:t xml:space="preserve"> was the dominant phylum in the vegetarian group, followed by </w:t>
      </w:r>
      <w:proofErr w:type="spellStart"/>
      <w:r w:rsidRPr="007346A7">
        <w:rPr>
          <w:rFonts w:ascii="Arial" w:hAnsi="Arial" w:cs="Arial"/>
          <w:i/>
          <w:iCs/>
        </w:rPr>
        <w:t>Bacillota</w:t>
      </w:r>
      <w:proofErr w:type="spellEnd"/>
      <w:r w:rsidRPr="007346A7">
        <w:rPr>
          <w:rFonts w:ascii="Arial" w:hAnsi="Arial" w:cs="Arial"/>
        </w:rPr>
        <w:t xml:space="preserve">. In contrast, </w:t>
      </w:r>
      <w:proofErr w:type="spellStart"/>
      <w:r w:rsidRPr="007346A7">
        <w:rPr>
          <w:rFonts w:ascii="Arial" w:hAnsi="Arial" w:cs="Arial"/>
          <w:i/>
          <w:iCs/>
        </w:rPr>
        <w:t>Bacillota</w:t>
      </w:r>
      <w:proofErr w:type="spellEnd"/>
      <w:r w:rsidRPr="007346A7">
        <w:rPr>
          <w:rFonts w:ascii="Arial" w:hAnsi="Arial" w:cs="Arial"/>
        </w:rPr>
        <w:t xml:space="preserve"> was the dominant phylum in the Mediterranean group, with </w:t>
      </w:r>
      <w:proofErr w:type="spellStart"/>
      <w:r w:rsidRPr="007346A7">
        <w:rPr>
          <w:rFonts w:ascii="Arial" w:hAnsi="Arial" w:cs="Arial"/>
          <w:i/>
          <w:iCs/>
        </w:rPr>
        <w:t>Bacteroidota</w:t>
      </w:r>
      <w:proofErr w:type="spellEnd"/>
      <w:r w:rsidRPr="007346A7">
        <w:rPr>
          <w:rFonts w:ascii="Arial" w:hAnsi="Arial" w:cs="Arial"/>
        </w:rPr>
        <w:t xml:space="preserve"> being the second most abundant phylum.</w:t>
      </w:r>
      <w:r>
        <w:rPr>
          <w:rFonts w:ascii="Arial" w:hAnsi="Arial" w:cs="Arial"/>
        </w:rPr>
        <w:t xml:space="preserve"> </w:t>
      </w:r>
      <w:r w:rsidRPr="007346A7">
        <w:rPr>
          <w:rFonts w:ascii="Arial" w:hAnsi="Arial" w:cs="Arial"/>
        </w:rPr>
        <w:t>At the genus level, the top 15 genera were plotted, unclassified taxa were labeled as Unclassified, and lower-abundance taxa were grouped as Other.</w:t>
      </w:r>
      <w:r>
        <w:rPr>
          <w:rFonts w:ascii="Arial" w:hAnsi="Arial" w:cs="Arial"/>
        </w:rPr>
        <w:t xml:space="preserve"> </w:t>
      </w:r>
      <w:r w:rsidRPr="007346A7">
        <w:rPr>
          <w:rFonts w:ascii="Arial" w:hAnsi="Arial" w:cs="Arial"/>
        </w:rPr>
        <w:t xml:space="preserve">At the genus level, </w:t>
      </w:r>
      <w:proofErr w:type="spellStart"/>
      <w:r w:rsidRPr="007346A7">
        <w:rPr>
          <w:rFonts w:ascii="Arial" w:hAnsi="Arial" w:cs="Arial"/>
          <w:i/>
          <w:iCs/>
        </w:rPr>
        <w:t>Segatella</w:t>
      </w:r>
      <w:proofErr w:type="spellEnd"/>
      <w:r w:rsidRPr="007346A7">
        <w:rPr>
          <w:rFonts w:ascii="Arial" w:hAnsi="Arial" w:cs="Arial"/>
        </w:rPr>
        <w:t xml:space="preserve"> was the most abundant genus in the vegetarian group, whereas </w:t>
      </w:r>
      <w:proofErr w:type="spellStart"/>
      <w:r w:rsidRPr="007346A7">
        <w:rPr>
          <w:rFonts w:ascii="Arial" w:hAnsi="Arial" w:cs="Arial"/>
          <w:i/>
          <w:iCs/>
        </w:rPr>
        <w:t>Faecalibacterium</w:t>
      </w:r>
      <w:proofErr w:type="spellEnd"/>
      <w:r w:rsidRPr="007346A7">
        <w:rPr>
          <w:rFonts w:ascii="Arial" w:hAnsi="Arial" w:cs="Arial"/>
        </w:rPr>
        <w:t xml:space="preserve"> was the most abundant genus in the Mediterranean group. </w:t>
      </w:r>
    </w:p>
    <w:p w14:paraId="6A7AA306" w14:textId="70AA30C8" w:rsidR="00410566" w:rsidRPr="00410566" w:rsidRDefault="00410566" w:rsidP="00410566">
      <w:pPr>
        <w:spacing w:after="120" w:line="120" w:lineRule="auto"/>
        <w:rPr>
          <w:rFonts w:ascii="Arial" w:hAnsi="Arial" w:cs="Arial"/>
        </w:rPr>
      </w:pPr>
      <w:r w:rsidRPr="00410566">
        <w:rPr>
          <w:rFonts w:ascii="Arial" w:hAnsi="Arial" w:cs="Arial"/>
          <w:b/>
          <w:bCs/>
        </w:rPr>
        <w:t>Alpha diversity</w:t>
      </w:r>
      <w:r>
        <w:rPr>
          <w:rFonts w:ascii="Arial" w:hAnsi="Arial" w:cs="Arial"/>
          <w:b/>
          <w:bCs/>
        </w:rPr>
        <w:t xml:space="preserve"> (Section 7.2)</w:t>
      </w:r>
    </w:p>
    <w:p w14:paraId="4C8F6F83" w14:textId="0D3DB221" w:rsidR="00410566" w:rsidRPr="00410566" w:rsidRDefault="00410566" w:rsidP="00410566">
      <w:pPr>
        <w:spacing w:after="120" w:line="120" w:lineRule="auto"/>
        <w:rPr>
          <w:rFonts w:ascii="Arial" w:hAnsi="Arial" w:cs="Arial"/>
        </w:rPr>
      </w:pPr>
      <w:r w:rsidRPr="00410566">
        <w:rPr>
          <w:rFonts w:ascii="Arial" w:hAnsi="Arial" w:cs="Arial"/>
        </w:rPr>
        <w:t xml:space="preserve">Differences between dietary groups were tested using Wilcoxon rank-sum tests, and p values across alpha-diversity metrics were adjusted with the Benjamini-Hochberg method. The HTML output reports </w:t>
      </w:r>
      <w:r>
        <w:rPr>
          <w:rFonts w:ascii="Arial" w:hAnsi="Arial" w:cs="Arial"/>
        </w:rPr>
        <w:t>meaningful</w:t>
      </w:r>
      <w:r w:rsidRPr="00410566">
        <w:rPr>
          <w:rFonts w:ascii="Arial" w:hAnsi="Arial" w:cs="Arial"/>
        </w:rPr>
        <w:t xml:space="preserve"> group differences for all three metrics: </w:t>
      </w:r>
      <w:r w:rsidRPr="00410566">
        <w:rPr>
          <w:rFonts w:ascii="Arial" w:hAnsi="Arial" w:cs="Arial"/>
        </w:rPr>
        <w:lastRenderedPageBreak/>
        <w:t>Observed richness p = 0.025, BH-adjusted p = 0.025; Shannon diversity p = 0.002, adjusted p = 0.003; and Simpson diversity p = 0.001, adjusted p = 0.003.</w:t>
      </w:r>
      <w:r>
        <w:rPr>
          <w:rFonts w:ascii="Arial" w:hAnsi="Arial" w:cs="Arial"/>
        </w:rPr>
        <w:t xml:space="preserve"> </w:t>
      </w:r>
    </w:p>
    <w:p w14:paraId="6D5E07BB" w14:textId="30B39F31" w:rsidR="00410566" w:rsidRPr="00410566" w:rsidRDefault="00410566" w:rsidP="00410566">
      <w:pPr>
        <w:spacing w:after="120" w:line="120" w:lineRule="auto"/>
        <w:rPr>
          <w:rFonts w:ascii="Arial" w:hAnsi="Arial" w:cs="Arial"/>
          <w:b/>
          <w:bCs/>
        </w:rPr>
      </w:pPr>
      <w:r w:rsidRPr="00410566">
        <w:rPr>
          <w:rFonts w:ascii="Arial" w:hAnsi="Arial" w:cs="Arial"/>
          <w:b/>
          <w:bCs/>
        </w:rPr>
        <w:t>Beta diversity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(Section 7.</w:t>
      </w:r>
      <w:r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>)</w:t>
      </w:r>
    </w:p>
    <w:p w14:paraId="104D717F" w14:textId="2EB041F9" w:rsidR="00FE017C" w:rsidRPr="00FE017C" w:rsidRDefault="00FE017C" w:rsidP="00FE017C">
      <w:pPr>
        <w:spacing w:after="120" w:line="120" w:lineRule="auto"/>
        <w:rPr>
          <w:rFonts w:ascii="Arial" w:hAnsi="Arial" w:cs="Arial"/>
        </w:rPr>
      </w:pPr>
      <w:r w:rsidRPr="00FE017C">
        <w:rPr>
          <w:rFonts w:ascii="Arial" w:hAnsi="Arial" w:cs="Arial"/>
        </w:rPr>
        <w:t xml:space="preserve">The effect of dietary group on overall community composition was tested using PERMANOVA with 999 permutations. The PERMANOVA result was </w:t>
      </w:r>
      <w:r>
        <w:rPr>
          <w:rFonts w:ascii="Arial" w:hAnsi="Arial" w:cs="Arial"/>
        </w:rPr>
        <w:t xml:space="preserve">meaningful with an </w:t>
      </w:r>
      <w:r w:rsidRPr="00FE017C">
        <w:rPr>
          <w:rFonts w:ascii="Arial" w:hAnsi="Arial" w:cs="Arial"/>
        </w:rPr>
        <w:t xml:space="preserve">R2 = 0.09938, F = 2.9794, p = 0.001. Because PERMANOVA can be influenced by differences in within-group dispersion, PERMDISP was also performed. PERMDISP </w:t>
      </w:r>
      <w:r>
        <w:rPr>
          <w:rFonts w:ascii="Arial" w:hAnsi="Arial" w:cs="Arial"/>
        </w:rPr>
        <w:t>results</w:t>
      </w:r>
      <w:r w:rsidRPr="00FE017C">
        <w:rPr>
          <w:rFonts w:ascii="Arial" w:hAnsi="Arial" w:cs="Arial"/>
        </w:rPr>
        <w:t xml:space="preserve"> with </w:t>
      </w:r>
      <w:r>
        <w:rPr>
          <w:rFonts w:ascii="Arial" w:hAnsi="Arial" w:cs="Arial"/>
        </w:rPr>
        <w:t xml:space="preserve">an </w:t>
      </w:r>
      <w:r w:rsidRPr="00FE017C">
        <w:rPr>
          <w:rFonts w:ascii="Arial" w:hAnsi="Arial" w:cs="Arial"/>
        </w:rPr>
        <w:t>F = 0.9959 and p = 0.305, suggesting that the PERMANOVA result was not simply driven by one group being more dispersed.</w:t>
      </w:r>
    </w:p>
    <w:p w14:paraId="6EC17066" w14:textId="51EA6E74" w:rsidR="00CD5A03" w:rsidRPr="00CD5A03" w:rsidRDefault="00CD5A03" w:rsidP="00CD5A03">
      <w:pPr>
        <w:spacing w:after="120" w:line="120" w:lineRule="auto"/>
        <w:rPr>
          <w:rFonts w:ascii="Arial" w:hAnsi="Arial" w:cs="Arial"/>
          <w:b/>
          <w:bCs/>
        </w:rPr>
      </w:pPr>
      <w:r w:rsidRPr="00CD5A03">
        <w:rPr>
          <w:rFonts w:ascii="Arial" w:hAnsi="Arial" w:cs="Arial"/>
          <w:b/>
          <w:bCs/>
        </w:rPr>
        <w:t>Differential abundance analysis</w:t>
      </w:r>
      <w:r>
        <w:rPr>
          <w:rFonts w:ascii="Arial" w:hAnsi="Arial" w:cs="Arial"/>
          <w:b/>
          <w:bCs/>
        </w:rPr>
        <w:t xml:space="preserve"> (Section 7.4)</w:t>
      </w:r>
    </w:p>
    <w:p w14:paraId="44894A2C" w14:textId="5F17C9FC" w:rsidR="00BB2A15" w:rsidRDefault="00193C79" w:rsidP="00051E35">
      <w:pPr>
        <w:spacing w:after="120" w:line="120" w:lineRule="auto"/>
        <w:rPr>
          <w:rFonts w:ascii="Arial" w:hAnsi="Arial" w:cs="Arial"/>
        </w:rPr>
      </w:pPr>
      <w:r w:rsidRPr="00193C79">
        <w:rPr>
          <w:rFonts w:ascii="Arial" w:hAnsi="Arial" w:cs="Arial"/>
          <w:i/>
          <w:iCs/>
        </w:rPr>
        <w:t>Dorea</w:t>
      </w:r>
      <w:r w:rsidRPr="00193C79">
        <w:rPr>
          <w:rFonts w:ascii="Arial" w:hAnsi="Arial" w:cs="Arial"/>
        </w:rPr>
        <w:t>,</w:t>
      </w:r>
      <w:r w:rsidRPr="00193C79">
        <w:rPr>
          <w:rFonts w:ascii="Arial" w:hAnsi="Arial" w:cs="Arial"/>
          <w:i/>
          <w:iCs/>
        </w:rPr>
        <w:t xml:space="preserve"> </w:t>
      </w:r>
      <w:proofErr w:type="spellStart"/>
      <w:r w:rsidRPr="00193C79">
        <w:rPr>
          <w:rFonts w:ascii="Arial" w:hAnsi="Arial" w:cs="Arial"/>
          <w:i/>
          <w:iCs/>
        </w:rPr>
        <w:t>Ruminococcus</w:t>
      </w:r>
      <w:proofErr w:type="spellEnd"/>
      <w:r w:rsidRPr="00193C79">
        <w:rPr>
          <w:rFonts w:ascii="Arial" w:hAnsi="Arial" w:cs="Arial"/>
          <w:i/>
          <w:iCs/>
        </w:rPr>
        <w:t xml:space="preserve">, </w:t>
      </w:r>
      <w:proofErr w:type="spellStart"/>
      <w:r w:rsidRPr="00193C79">
        <w:rPr>
          <w:rFonts w:ascii="Arial" w:hAnsi="Arial" w:cs="Arial"/>
          <w:i/>
          <w:iCs/>
        </w:rPr>
        <w:t>Mediterraneibacter</w:t>
      </w:r>
      <w:proofErr w:type="spellEnd"/>
      <w:r w:rsidRPr="00193C79">
        <w:rPr>
          <w:rFonts w:ascii="Arial" w:hAnsi="Arial" w:cs="Arial"/>
          <w:i/>
          <w:iCs/>
        </w:rPr>
        <w:t xml:space="preserve">, </w:t>
      </w:r>
      <w:proofErr w:type="spellStart"/>
      <w:r w:rsidRPr="00193C79">
        <w:rPr>
          <w:rFonts w:ascii="Arial" w:hAnsi="Arial" w:cs="Arial"/>
          <w:i/>
          <w:iCs/>
        </w:rPr>
        <w:t>Subdoligranulum</w:t>
      </w:r>
      <w:proofErr w:type="spellEnd"/>
      <w:r w:rsidRPr="00193C79">
        <w:rPr>
          <w:rFonts w:ascii="Arial" w:hAnsi="Arial" w:cs="Arial"/>
        </w:rPr>
        <w:t xml:space="preserve">, and </w:t>
      </w:r>
      <w:proofErr w:type="spellStart"/>
      <w:r w:rsidRPr="00193C79">
        <w:rPr>
          <w:rFonts w:ascii="Arial" w:hAnsi="Arial" w:cs="Arial"/>
          <w:i/>
          <w:iCs/>
        </w:rPr>
        <w:t>Romboutsia</w:t>
      </w:r>
      <w:proofErr w:type="spellEnd"/>
      <w:r w:rsidRPr="00193C79">
        <w:rPr>
          <w:rFonts w:ascii="Arial" w:hAnsi="Arial" w:cs="Arial"/>
        </w:rPr>
        <w:t xml:space="preserve"> are </w:t>
      </w:r>
      <w:proofErr w:type="spellStart"/>
      <w:r w:rsidRPr="00193C79">
        <w:rPr>
          <w:rFonts w:ascii="Arial" w:hAnsi="Arial" w:cs="Arial"/>
        </w:rPr>
        <w:t>dentified</w:t>
      </w:r>
      <w:proofErr w:type="spellEnd"/>
      <w:r w:rsidRPr="00193C79">
        <w:rPr>
          <w:rFonts w:ascii="Arial" w:hAnsi="Arial" w:cs="Arial"/>
        </w:rPr>
        <w:t xml:space="preserve"> to be associated with the two dietary groups</w:t>
      </w:r>
      <w:r>
        <w:rPr>
          <w:rFonts w:ascii="Arial" w:hAnsi="Arial" w:cs="Arial"/>
        </w:rPr>
        <w:t xml:space="preserve">. </w:t>
      </w:r>
      <w:r w:rsidRPr="00193C79">
        <w:rPr>
          <w:rFonts w:ascii="Arial" w:hAnsi="Arial" w:cs="Arial"/>
        </w:rPr>
        <w:t xml:space="preserve">The abundance of </w:t>
      </w:r>
      <w:r w:rsidRPr="00193C79">
        <w:rPr>
          <w:rFonts w:ascii="Arial" w:hAnsi="Arial" w:cs="Arial"/>
          <w:i/>
          <w:iCs/>
        </w:rPr>
        <w:t>Dorea</w:t>
      </w:r>
      <w:r>
        <w:rPr>
          <w:rFonts w:ascii="Arial" w:hAnsi="Arial" w:cs="Arial"/>
          <w:i/>
          <w:iCs/>
        </w:rPr>
        <w:t xml:space="preserve"> </w:t>
      </w:r>
      <w:r w:rsidRPr="00193C79">
        <w:rPr>
          <w:rFonts w:ascii="Arial" w:hAnsi="Arial" w:cs="Arial"/>
        </w:rPr>
        <w:t>was estimated to be 6.1-fold higher in the vegetarian group than in the mediterranean group (95% CI: 3.2 - 11.6).</w:t>
      </w:r>
      <w:r>
        <w:rPr>
          <w:rFonts w:ascii="Arial" w:hAnsi="Arial" w:cs="Arial"/>
        </w:rPr>
        <w:t xml:space="preserve"> </w:t>
      </w:r>
      <w:r w:rsidRPr="00193C79">
        <w:rPr>
          <w:rFonts w:ascii="Arial" w:hAnsi="Arial" w:cs="Arial"/>
        </w:rPr>
        <w:t xml:space="preserve">The abundance of </w:t>
      </w:r>
      <w:proofErr w:type="spellStart"/>
      <w:r w:rsidRPr="00193C79">
        <w:rPr>
          <w:rFonts w:ascii="Arial" w:hAnsi="Arial" w:cs="Arial"/>
          <w:i/>
          <w:iCs/>
        </w:rPr>
        <w:t>Subdoligranulum</w:t>
      </w:r>
      <w:proofErr w:type="spellEnd"/>
      <w:r w:rsidRPr="00193C79">
        <w:rPr>
          <w:rFonts w:ascii="Arial" w:hAnsi="Arial" w:cs="Arial"/>
        </w:rPr>
        <w:t xml:space="preserve"> was approximately 72% lower in vegetarians than in mediterranean (fold change = 0.28, 95% CI: 0.14 - 0.58).  </w:t>
      </w:r>
    </w:p>
    <w:p w14:paraId="71EB342A" w14:textId="3F12AE1A" w:rsidR="00C7486C" w:rsidRPr="00C7486C" w:rsidRDefault="00C7486C" w:rsidP="00C7486C">
      <w:pPr>
        <w:spacing w:after="120" w:line="120" w:lineRule="auto"/>
        <w:rPr>
          <w:rFonts w:ascii="Arial" w:hAnsi="Arial" w:cs="Arial"/>
          <w:b/>
          <w:bCs/>
          <w:sz w:val="24"/>
          <w:szCs w:val="28"/>
        </w:rPr>
      </w:pPr>
      <w:r w:rsidRPr="00C7486C">
        <w:rPr>
          <w:rFonts w:ascii="Arial" w:hAnsi="Arial" w:cs="Arial"/>
          <w:b/>
          <w:bCs/>
          <w:sz w:val="24"/>
          <w:szCs w:val="28"/>
        </w:rPr>
        <w:t>Biological Interpretation</w:t>
      </w:r>
      <w:r w:rsidR="00A00FB1">
        <w:rPr>
          <w:rFonts w:ascii="Arial" w:hAnsi="Arial" w:cs="Arial"/>
          <w:b/>
          <w:bCs/>
          <w:sz w:val="24"/>
          <w:szCs w:val="28"/>
        </w:rPr>
        <w:t xml:space="preserve"> </w:t>
      </w:r>
    </w:p>
    <w:p w14:paraId="38273807" w14:textId="6E2A1280" w:rsidR="00BB2A15" w:rsidRDefault="00C7486C" w:rsidP="00C7486C">
      <w:pPr>
        <w:spacing w:after="120" w:line="120" w:lineRule="auto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Pr="00C7486C">
        <w:rPr>
          <w:rFonts w:ascii="Arial" w:hAnsi="Arial" w:cs="Arial"/>
        </w:rPr>
        <w:t xml:space="preserve">ong-term diet may shape the gut microbiome through differences in fermentable carbohydrates, dietary fiber, fat, and protein intake. The vegetarian group represents a rural, plant-based diet rich in grains and legumes, while the Mediterranean group represents a European childhood dietary context. The </w:t>
      </w:r>
      <w:r>
        <w:rPr>
          <w:rFonts w:ascii="Arial" w:hAnsi="Arial" w:cs="Arial"/>
        </w:rPr>
        <w:t>meaningful difference in</w:t>
      </w:r>
      <w:r w:rsidRPr="00C7486C">
        <w:rPr>
          <w:rFonts w:ascii="Arial" w:hAnsi="Arial" w:cs="Arial"/>
        </w:rPr>
        <w:t xml:space="preserve"> Bray-Curtis PERMANOVA result indicates that the two groups differ not only in selected taxa but also in overall microbial community structure</w:t>
      </w:r>
      <w:r>
        <w:rPr>
          <w:rFonts w:ascii="Arial" w:hAnsi="Arial" w:cs="Arial"/>
        </w:rPr>
        <w:t xml:space="preserve">. </w:t>
      </w:r>
    </w:p>
    <w:p w14:paraId="0749F17B" w14:textId="2A219281" w:rsidR="00E92C66" w:rsidRPr="00C7486C" w:rsidRDefault="00C7486C" w:rsidP="00051E35">
      <w:pPr>
        <w:spacing w:after="120" w:line="120" w:lineRule="auto"/>
        <w:rPr>
          <w:rFonts w:ascii="Arial" w:hAnsi="Arial" w:cs="Arial"/>
          <w:b/>
          <w:bCs/>
          <w:sz w:val="24"/>
          <w:szCs w:val="28"/>
        </w:rPr>
      </w:pPr>
      <w:r w:rsidRPr="00C7486C">
        <w:rPr>
          <w:rFonts w:ascii="Arial" w:hAnsi="Arial" w:cs="Arial"/>
          <w:b/>
          <w:bCs/>
          <w:sz w:val="24"/>
          <w:szCs w:val="28"/>
        </w:rPr>
        <w:t xml:space="preserve">Study Limitations </w:t>
      </w:r>
      <w:r w:rsidR="00A00FB1">
        <w:rPr>
          <w:rFonts w:ascii="Arial" w:hAnsi="Arial" w:cs="Arial"/>
          <w:b/>
          <w:bCs/>
          <w:sz w:val="24"/>
          <w:szCs w:val="28"/>
        </w:rPr>
        <w:t xml:space="preserve">and </w:t>
      </w:r>
      <w:r w:rsidR="00A00FB1" w:rsidRPr="00A00FB1">
        <w:rPr>
          <w:rFonts w:ascii="Arial" w:hAnsi="Arial" w:cs="Arial"/>
          <w:b/>
          <w:bCs/>
          <w:sz w:val="24"/>
          <w:szCs w:val="28"/>
        </w:rPr>
        <w:t>Recommendations for Improving the Analysis</w:t>
      </w:r>
      <w:r w:rsidR="00A00FB1">
        <w:rPr>
          <w:rFonts w:ascii="Arial" w:hAnsi="Arial" w:cs="Arial"/>
          <w:b/>
          <w:bCs/>
          <w:sz w:val="24"/>
          <w:szCs w:val="28"/>
        </w:rPr>
        <w:t xml:space="preserve"> </w:t>
      </w:r>
    </w:p>
    <w:p w14:paraId="31F3DA61" w14:textId="02848FDD" w:rsidR="00E92C66" w:rsidRDefault="00A00FB1" w:rsidP="00051E35">
      <w:pPr>
        <w:spacing w:after="120" w:line="120" w:lineRule="auto"/>
        <w:rPr>
          <w:rFonts w:ascii="Arial" w:hAnsi="Arial" w:cs="Arial"/>
        </w:rPr>
      </w:pPr>
      <w:r w:rsidRPr="00A00FB1">
        <w:rPr>
          <w:rFonts w:ascii="Arial" w:hAnsi="Arial" w:cs="Arial"/>
        </w:rPr>
        <w:t>The major limitation is that dietary group is strongly confounded with geography, ethnicity</w:t>
      </w:r>
      <w:r>
        <w:rPr>
          <w:rFonts w:ascii="Arial" w:hAnsi="Arial" w:cs="Arial"/>
        </w:rPr>
        <w:t>/</w:t>
      </w:r>
      <w:r w:rsidRPr="00A00FB1">
        <w:rPr>
          <w:rFonts w:ascii="Arial" w:hAnsi="Arial" w:cs="Arial"/>
        </w:rPr>
        <w:t>population background, living environment, and socioeconomic conditions.</w:t>
      </w:r>
      <w:r>
        <w:rPr>
          <w:rFonts w:ascii="Arial" w:hAnsi="Arial" w:cs="Arial"/>
        </w:rPr>
        <w:t xml:space="preserve"> The bias that caused by not including additional variables can be reduced by including necessary explanatory variables into the model. </w:t>
      </w:r>
    </w:p>
    <w:p w14:paraId="4690C2B4" w14:textId="6BBAD0BE" w:rsidR="00BB2A15" w:rsidRPr="000B3118" w:rsidRDefault="00A00FB1" w:rsidP="00051E35">
      <w:pPr>
        <w:spacing w:after="120" w:line="120" w:lineRule="auto"/>
        <w:rPr>
          <w:rFonts w:ascii="Arial" w:hAnsi="Arial" w:cs="Arial"/>
        </w:rPr>
      </w:pPr>
      <w:r w:rsidRPr="00A00FB1">
        <w:rPr>
          <w:rFonts w:ascii="Arial" w:hAnsi="Arial" w:cs="Arial"/>
        </w:rPr>
        <w:t>Another aspect that could be improved is the optimization of the phylogenetic tree. In this analysis, nearest-neighbor interchange (NNI) was used to reduce computational time. A more comprehensive approach could compare multiple nucleotide substitution models and optimization strategies</w:t>
      </w:r>
      <w:r>
        <w:rPr>
          <w:rFonts w:ascii="Arial" w:hAnsi="Arial" w:cs="Arial"/>
        </w:rPr>
        <w:t xml:space="preserve">. </w:t>
      </w:r>
      <w:r w:rsidRPr="00A00FB1">
        <w:rPr>
          <w:rFonts w:ascii="Arial" w:hAnsi="Arial" w:cs="Arial"/>
        </w:rPr>
        <w:t>The best-fitting model could then be selected based on criteria such as AIC or BIC before final tree optimization.</w:t>
      </w:r>
      <w:r>
        <w:rPr>
          <w:rFonts w:ascii="Arial" w:hAnsi="Arial" w:cs="Arial"/>
        </w:rPr>
        <w:t xml:space="preserve"> </w:t>
      </w:r>
    </w:p>
    <w:p w14:paraId="05657758" w14:textId="268B0A31" w:rsidR="000B3118" w:rsidRPr="000B3118" w:rsidRDefault="00A00FB1" w:rsidP="00051E35">
      <w:pPr>
        <w:spacing w:after="120" w:line="120" w:lineRule="auto"/>
        <w:rPr>
          <w:rFonts w:ascii="Arial" w:hAnsi="Arial" w:cs="Arial"/>
        </w:rPr>
      </w:pPr>
      <w:r w:rsidRPr="00A00FB1">
        <w:rPr>
          <w:rFonts w:ascii="Arial" w:hAnsi="Arial" w:cs="Arial"/>
        </w:rPr>
        <w:t xml:space="preserve">The small sample size of only 29 samples also limited statistical power and the stability of the results. Although the alpha-diversity tests and PERMANOVA indicated </w:t>
      </w:r>
      <w:r>
        <w:rPr>
          <w:rFonts w:ascii="Arial" w:hAnsi="Arial" w:cs="Arial"/>
        </w:rPr>
        <w:t>meaningful</w:t>
      </w:r>
      <w:r w:rsidRPr="00A00FB1">
        <w:rPr>
          <w:rFonts w:ascii="Arial" w:hAnsi="Arial" w:cs="Arial"/>
        </w:rPr>
        <w:t xml:space="preserve"> differences between the two dietary groups, the estimated effect sizes and differential-abundance results may be unstable and should therefore be interpreted cautiously.</w:t>
      </w:r>
      <w:r>
        <w:rPr>
          <w:rFonts w:ascii="Arial" w:hAnsi="Arial" w:cs="Arial"/>
        </w:rPr>
        <w:t xml:space="preserve"> </w:t>
      </w:r>
    </w:p>
    <w:p w14:paraId="376CA7BA" w14:textId="77777777" w:rsidR="000B3118" w:rsidRPr="00A00FB1" w:rsidRDefault="000B3118" w:rsidP="00051E35">
      <w:pPr>
        <w:spacing w:after="120" w:line="120" w:lineRule="auto"/>
        <w:rPr>
          <w:rFonts w:ascii="Arial" w:hAnsi="Arial" w:cs="Arial"/>
        </w:rPr>
      </w:pPr>
    </w:p>
    <w:sectPr w:rsidR="000B3118" w:rsidRPr="00A00F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118"/>
    <w:rsid w:val="00051E35"/>
    <w:rsid w:val="000B3118"/>
    <w:rsid w:val="000C51EE"/>
    <w:rsid w:val="00121FC3"/>
    <w:rsid w:val="00193C79"/>
    <w:rsid w:val="00231818"/>
    <w:rsid w:val="003E253E"/>
    <w:rsid w:val="0040282D"/>
    <w:rsid w:val="00410566"/>
    <w:rsid w:val="00573269"/>
    <w:rsid w:val="00574CC3"/>
    <w:rsid w:val="005E5AB3"/>
    <w:rsid w:val="00670C94"/>
    <w:rsid w:val="006C60AA"/>
    <w:rsid w:val="007346A7"/>
    <w:rsid w:val="00965668"/>
    <w:rsid w:val="00A00FB1"/>
    <w:rsid w:val="00AA077B"/>
    <w:rsid w:val="00BB2A15"/>
    <w:rsid w:val="00C7486C"/>
    <w:rsid w:val="00CD5A03"/>
    <w:rsid w:val="00D636AB"/>
    <w:rsid w:val="00E92C66"/>
    <w:rsid w:val="00F01CEA"/>
    <w:rsid w:val="00FE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E79ED"/>
  <w15:chartTrackingRefBased/>
  <w15:docId w15:val="{E0F14236-36D4-DD41-A0F8-AE0158546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31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3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1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1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1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1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1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1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1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31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3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3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31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31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31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31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31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31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31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3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1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31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3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31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31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31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3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31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311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E253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E253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E25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1226</Words>
  <Characters>6989</Characters>
  <Application>Microsoft Office Word</Application>
  <DocSecurity>0</DocSecurity>
  <Lines>58</Lines>
  <Paragraphs>16</Paragraphs>
  <ScaleCrop>false</ScaleCrop>
  <Company/>
  <LinksUpToDate>false</LinksUpToDate>
  <CharactersWithSpaces>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Zhang</dc:creator>
  <cp:keywords/>
  <dc:description/>
  <cp:lastModifiedBy>Lily Zhang</cp:lastModifiedBy>
  <cp:revision>21</cp:revision>
  <dcterms:created xsi:type="dcterms:W3CDTF">2026-08-07T13:41:00Z</dcterms:created>
  <dcterms:modified xsi:type="dcterms:W3CDTF">2026-08-08T00:21:00Z</dcterms:modified>
</cp:coreProperties>
</file>