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d1f25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Patient Info: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d1f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54 years old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Female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CC: management of nonalcoholic steatohepatitis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Additional Hx: moderate liver fibrosis.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HPI: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Resmetirom was started 6 months ago.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At the last visit she weighed 218.5 pounds.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Since the last visit, the patient has started loratadine.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The patient reports walking 2 miles daily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States she is following her diet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Roboto" w:cs="Roboto" w:eastAsia="Roboto" w:hAnsi="Roboto"/>
          <w:color w:val="1d1f25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1d1f25"/>
          <w:sz w:val="28"/>
          <w:szCs w:val="28"/>
          <w:highlight w:val="white"/>
          <w:rtl w:val="0"/>
        </w:rPr>
        <w:t xml:space="preserve">Notes that her pants feel tighter. </w:t>
      </w:r>
    </w:p>
    <w:p w:rsidR="00000000" w:rsidDel="00000000" w:rsidP="00000000" w:rsidRDefault="00000000" w:rsidRPr="00000000" w14:paraId="0000000E">
      <w:pPr>
        <w:ind w:left="0" w:firstLine="0"/>
        <w:rPr>
          <w:rFonts w:ascii="Roboto" w:cs="Roboto" w:eastAsia="Roboto" w:hAnsi="Roboto"/>
          <w:color w:val="1d1f2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