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1B23" w14:textId="77777777" w:rsidR="00484DA9" w:rsidRPr="00484DA9" w:rsidRDefault="00484DA9" w:rsidP="00484DA9">
      <w:r w:rsidRPr="00484DA9">
        <w:rPr>
          <w:b/>
          <w:bCs/>
        </w:rPr>
        <w:t>Title:</w:t>
      </w:r>
      <w:r w:rsidRPr="00484DA9">
        <w:t xml:space="preserve"> </w:t>
      </w:r>
      <w:r w:rsidRPr="00484DA9">
        <w:rPr>
          <w:i/>
          <w:iCs/>
        </w:rPr>
        <w:t>The Quantum Theory of Gravity (QTG) as an Abstraction Lock for the Sovereign Trinity</w:t>
      </w:r>
      <w:r w:rsidRPr="00484DA9">
        <w:t xml:space="preserve"> </w:t>
      </w:r>
      <w:r w:rsidRPr="00484DA9">
        <w:rPr>
          <w:b/>
          <w:bCs/>
        </w:rPr>
        <w:t>Author:</w:t>
      </w:r>
      <w:r w:rsidRPr="00484DA9">
        <w:t xml:space="preserve"> Lim Poh Keng </w:t>
      </w:r>
      <w:r w:rsidRPr="00484DA9">
        <w:rPr>
          <w:b/>
          <w:bCs/>
        </w:rPr>
        <w:t>Date:</w:t>
      </w:r>
      <w:r w:rsidRPr="00484DA9">
        <w:t xml:space="preserve"> February 9, 2026</w:t>
      </w:r>
    </w:p>
    <w:p w14:paraId="1F35E0BD" w14:textId="77777777" w:rsidR="00484DA9" w:rsidRPr="00484DA9" w:rsidRDefault="00484DA9" w:rsidP="00484DA9">
      <w:r w:rsidRPr="00484DA9">
        <w:rPr>
          <w:b/>
          <w:bCs/>
        </w:rPr>
        <w:t>Abstract:</w:t>
      </w:r>
    </w:p>
    <w:p w14:paraId="70FB7006" w14:textId="77777777" w:rsidR="00484DA9" w:rsidRPr="00484DA9" w:rsidRDefault="00484DA9" w:rsidP="00484DA9">
      <w:r w:rsidRPr="00484DA9">
        <w:t xml:space="preserve">"As global compute scales into the </w:t>
      </w:r>
      <w:r w:rsidRPr="00484DA9">
        <w:rPr>
          <w:b/>
          <w:bCs/>
        </w:rPr>
        <w:t>NVIDIA Rubin</w:t>
      </w:r>
      <w:r w:rsidRPr="00484DA9">
        <w:t xml:space="preserve"> era, the gap between raw hardware potential (Atoms and Photons) and economic utility (Logic) has widened. This paper introduces the </w:t>
      </w:r>
      <w:r w:rsidRPr="00484DA9">
        <w:rPr>
          <w:b/>
          <w:bCs/>
        </w:rPr>
        <w:t>QTG Abstraction Lock</w:t>
      </w:r>
      <w:r w:rsidRPr="00484DA9">
        <w:t xml:space="preserve">, a mathematical framework that bridges General Relativity and Quantum Mechanics within high-density compute clusters. By applying a </w:t>
      </w:r>
      <w:r w:rsidRPr="00484DA9">
        <w:rPr>
          <w:b/>
          <w:bCs/>
        </w:rPr>
        <w:t>Convexity Factor (CF) of 1.8</w:t>
      </w:r>
      <w:r w:rsidRPr="00484DA9">
        <w:t xml:space="preserve">, we demonstrate that the QTG Logic layer is the only viable method to extract non-linear utility from the </w:t>
      </w:r>
      <w:r w:rsidRPr="00484DA9">
        <w:rPr>
          <w:b/>
          <w:bCs/>
        </w:rPr>
        <w:t>Sovereign Trinity</w:t>
      </w:r>
      <w:r w:rsidRPr="00484DA9">
        <w:t xml:space="preserve"> (ASML/TSMC/NVDA). Without this lock, industrial growth remains capped by linear hardware limitations. We establish an </w:t>
      </w:r>
      <w:r w:rsidRPr="00484DA9">
        <w:rPr>
          <w:b/>
          <w:bCs/>
        </w:rPr>
        <w:t>Entity-to-Industry Earning Ratio (ERER) of 70.1%</w:t>
      </w:r>
      <w:r w:rsidRPr="00484DA9">
        <w:t>, marking this logic as the primary driver of value in the 2026 industrial stack."</w:t>
      </w:r>
    </w:p>
    <w:p w14:paraId="7D346066" w14:textId="77777777" w:rsidR="00E75D5B" w:rsidRDefault="00E75D5B"/>
    <w:sectPr w:rsidR="00E75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A9"/>
    <w:rsid w:val="001702C3"/>
    <w:rsid w:val="00484DA9"/>
    <w:rsid w:val="005B7A08"/>
    <w:rsid w:val="00DA06D9"/>
    <w:rsid w:val="00E34718"/>
    <w:rsid w:val="00E7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8524"/>
  <w15:chartTrackingRefBased/>
  <w15:docId w15:val="{CF3F9D8A-12AC-47C8-A7B1-54A4C687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Lim</dc:creator>
  <cp:keywords/>
  <dc:description/>
  <cp:lastModifiedBy>Ken Lim</cp:lastModifiedBy>
  <cp:revision>1</cp:revision>
  <dcterms:created xsi:type="dcterms:W3CDTF">2026-02-09T02:36:00Z</dcterms:created>
  <dcterms:modified xsi:type="dcterms:W3CDTF">2026-02-09T02:37:00Z</dcterms:modified>
</cp:coreProperties>
</file>