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c>
          <w:tcPr>
            <w:tcW w:type="dxa" w:w="7880"/>
            <w:tcMar>
              <w:top w:w="0" w:type="dxa"/>
              <w:start w:w="0" w:type="dxa"/>
              <w:bottom w:w="0" w:type="dxa"/>
              <w:end w:w="250" w:type="dxa"/>
            </w:tcMar>
            <w:vAlign w:val="center"/>
          </w:tcPr>
          <w:p>
            <w:pPr>
              <w:keepLines w:val="0"/>
              <w:spacing w:before="0" w:after="2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54"/>
              </w:rPr>
              <w:t>임소희</w:t>
            </w:r>
          </w:p>
          <w:p>
            <w:pPr>
              <w:keepLines w:val="0"/>
              <w:spacing w:before="0" w:after="14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24"/>
              </w:rPr>
              <w:t>콘텐츠 기획·운영 마케터</w:t>
            </w:r>
          </w:p>
          <w:p>
            <w:pPr>
              <w:keepLines w:val="0"/>
              <w:spacing w:before="0" w:after="0" w:line="264" w:lineRule="auto"/>
              <w:jc w:val="left"/>
            </w:pPr>
            <w:hyperlink r:id="rId10">
              <w:r>
                <w:rPr>
                  <w:rFonts w:ascii="Malgun Gothic" w:hAnsi="Malgun Gothic" w:eastAsia="Malgun Gothic"/>
                  <w:color w:val="686D78"/>
                  <w:sz w:val="17"/>
                  <w:szCs w:val="17"/>
                </w:rPr>
                <w:t>sohee.lim.lsh@gmail.com</w:t>
              </w:r>
            </w:hyperlink>
            <w:r>
              <w:rPr>
                <w:rFonts w:ascii="Malgun Gothic" w:hAnsi="Malgun Gothic" w:eastAsia="Malgun Gothic"/>
                <w:b w:val="0"/>
                <w:i w:val="0"/>
                <w:color w:val="686D78"/>
                <w:sz w:val="17"/>
              </w:rPr>
              <w:t xml:space="preserve">  ·  </w:t>
            </w:r>
            <w:hyperlink r:id="rId11">
              <w:r>
                <w:rPr>
                  <w:rFonts w:ascii="Malgun Gothic" w:hAnsi="Malgun Gothic" w:eastAsia="Malgun Gothic"/>
                  <w:color w:val="686D78"/>
                  <w:sz w:val="17"/>
                  <w:szCs w:val="17"/>
                </w:rPr>
                <w:t>LinkedIn</w:t>
              </w:r>
            </w:hyperlink>
            <w:r>
              <w:rPr>
                <w:rFonts w:ascii="Malgun Gothic" w:hAnsi="Malgun Gothic" w:eastAsia="Malgun Gothic"/>
                <w:b w:val="0"/>
                <w:i w:val="0"/>
                <w:color w:val="686D78"/>
                <w:sz w:val="17"/>
              </w:rPr>
              <w:t xml:space="preserve">  ·  </w:t>
            </w:r>
            <w:hyperlink r:id="rId12">
              <w:r>
                <w:rPr>
                  <w:rFonts w:ascii="Malgun Gothic" w:hAnsi="Malgun Gothic" w:eastAsia="Malgun Gothic"/>
                  <w:color w:val="686D78"/>
                  <w:sz w:val="17"/>
                  <w:szCs w:val="17"/>
                </w:rPr>
                <w:t>Portfolio</w:t>
              </w:r>
            </w:hyperlink>
          </w:p>
        </w:tc>
        <w:tc>
          <w:tcPr>
            <w:tcW w:type="dxa" w:w="2097"/>
            <w:tcMar>
              <w:top w:w="0" w:type="dxa"/>
              <w:start w:w="10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44000" cy="1382400"/>
                  <wp:docPr id="1" name="Picture 1" descr="임소희 프로필 사진" title="프로필 사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before="140" w:after="160" w:line="307" w:lineRule="auto"/>
        <w:jc w:val="left"/>
      </w:pPr>
      <w:r>
        <w:rPr>
          <w:rFonts w:ascii="Malgun Gothic" w:hAnsi="Malgun Gothic" w:eastAsia="Malgun Gothic"/>
          <w:b/>
          <w:i w:val="0"/>
          <w:color w:val="111318"/>
          <w:sz w:val="21"/>
        </w:rPr>
        <w:t xml:space="preserve">복잡한 정보를 이해하기 쉬운 콘텐츠로 바꾸고, 기획부터 제작·운영까지 연결합니다. </w:t>
      </w:r>
      <w:r>
        <w:rPr>
          <w:rFonts w:ascii="Malgun Gothic" w:hAnsi="Malgun Gothic" w:eastAsia="Malgun Gothic"/>
          <w:b w:val="0"/>
          <w:i w:val="0"/>
          <w:color w:val="111318"/>
          <w:sz w:val="20"/>
        </w:rPr>
        <w:t>SNS·SEO 콘텐츠와 사업 문서, 영상·전시 콘텐츠를 만들고 반복 제작 과정은 검수 기준과 운영 절차로 정리해 왔습니다.</w:t>
      </w:r>
    </w:p>
    <w:p>
      <w:pPr>
        <w:keepLines/>
        <w:spacing w:before="160" w:after="120" w:line="240" w:lineRule="auto"/>
        <w:jc w:val="left"/>
        <w:pBdr>
          <w:bottom w:val="single" w:sz="10" w:space="4" w:color="3264F5"/>
        </w:pBdr>
      </w:pPr>
      <w:r>
        <w:rPr>
          <w:rFonts w:ascii="Arial" w:hAnsi="Arial" w:eastAsia="Arial"/>
          <w:b/>
          <w:i w:val="0"/>
          <w:color w:val="3264F5"/>
          <w:sz w:val="16"/>
        </w:rPr>
        <w:t>SELECTED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26"/>
        <w:gridCol w:w="3326"/>
        <w:gridCol w:w="3326"/>
      </w:tblGrid>
      <w:tr>
        <w:tc>
          <w:tcPr>
            <w:tcW w:type="dxa" w:w="3327"/>
            <w:shd w:fill="EEF1FA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tcBorders>
              <w:right w:val="single" w:sz="8" w:color="FFFFFF"/>
            </w:tcBorders>
          </w:tcPr>
          <w:p>
            <w:pPr>
              <w:keepLines w:val="0"/>
              <w:spacing w:before="0" w:after="4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35"/>
              </w:rPr>
              <w:t>4,500만 원</w:t>
            </w:r>
          </w:p>
          <w:p>
            <w:pPr>
              <w:keepLines w:val="0"/>
              <w:spacing w:before="0" w:after="40" w:line="264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18"/>
              </w:rPr>
              <w:t>수출바우처 사업 선정</w:t>
            </w:r>
          </w:p>
          <w:p>
            <w:pPr>
              <w:keepLines w:val="0"/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686D78"/>
                <w:sz w:val="15"/>
              </w:rPr>
              <w:t>시장 조사부터 사업계획서 구조 설계·작성</w:t>
            </w:r>
          </w:p>
        </w:tc>
        <w:tc>
          <w:tcPr>
            <w:tcW w:type="dxa" w:w="3327"/>
            <w:shd w:fill="EEF1FA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tcBorders>
              <w:right w:val="single" w:sz="8" w:color="FFFFFF"/>
            </w:tcBorders>
          </w:tcPr>
          <w:p>
            <w:pPr>
              <w:keepLines w:val="0"/>
              <w:spacing w:before="0" w:after="4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35"/>
              </w:rPr>
              <w:t>9 / 10</w:t>
            </w:r>
          </w:p>
          <w:p>
            <w:pPr>
              <w:keepLines w:val="0"/>
              <w:spacing w:before="0" w:after="40" w:line="264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18"/>
              </w:rPr>
              <w:t>추적 키워드 검색 5위 이내</w:t>
            </w:r>
          </w:p>
          <w:p>
            <w:pPr>
              <w:keepLines w:val="0"/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686D78"/>
                <w:sz w:val="15"/>
              </w:rPr>
              <w:t>10개 모두 노출 · 5개 검색 1위</w:t>
            </w:r>
          </w:p>
        </w:tc>
        <w:tc>
          <w:tcPr>
            <w:tcW w:type="dxa" w:w="3322"/>
            <w:shd w:fill="EEF1FA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keepLines w:val="0"/>
              <w:spacing w:before="0" w:after="4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35"/>
              </w:rPr>
              <w:t>230 · 170 · 37</w:t>
            </w:r>
          </w:p>
          <w:p>
            <w:pPr>
              <w:keepLines w:val="0"/>
              <w:spacing w:before="0" w:after="40" w:line="264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18"/>
              </w:rPr>
              <w:t>HP 공동 웨비나</w:t>
            </w:r>
          </w:p>
          <w:p>
            <w:pPr>
              <w:keepLines w:val="0"/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686D78"/>
                <w:sz w:val="15"/>
              </w:rPr>
              <w:t>등록 · 실시간 참석 · 후속 신청</w:t>
            </w:r>
          </w:p>
        </w:tc>
      </w:tr>
    </w:tbl>
    <w:p>
      <w:pPr>
        <w:keepLines/>
        <w:spacing w:before="160" w:after="80" w:line="240" w:lineRule="auto"/>
        <w:jc w:val="left"/>
        <w:pBdr>
          <w:bottom w:val="single" w:sz="10" w:space="4" w:color="3264F5"/>
        </w:pBdr>
      </w:pPr>
      <w:r>
        <w:rPr>
          <w:rFonts w:ascii="Arial" w:hAnsi="Arial" w:eastAsia="Arial"/>
          <w:b/>
          <w:i w:val="0"/>
          <w:color w:val="3264F5"/>
          <w:sz w:val="16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c>
          <w:tcPr>
            <w:tcW w:type="dxa" w:w="1757"/>
            <w:tcMar>
              <w:top w:w="70" w:type="dxa"/>
              <w:start w:w="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16"/>
              </w:rPr>
              <w:t>2024.06–현재</w:t>
            </w:r>
          </w:p>
        </w:tc>
        <w:tc>
          <w:tcPr>
            <w:tcW w:type="dxa" w:w="8220"/>
            <w:tcMar>
              <w:top w:w="70" w:type="dxa"/>
              <w:start w:w="0" w:type="dxa"/>
              <w:bottom w:w="100" w:type="dxa"/>
              <w:end w:w="0" w:type="dxa"/>
            </w:tcMar>
            <w:tcBorders>
              <w:bottom w:val="single" w:sz="4" w:color="D9DDE7"/>
            </w:tcBorders>
          </w:tcPr>
          <w:p>
            <w:pPr>
              <w:keepLines w:val="0"/>
              <w:spacing w:before="0" w:after="20" w:line="252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20"/>
              </w:rPr>
              <w:t>주식회사 더프라임그룹</w:t>
            </w:r>
            <w:r>
              <w:rPr>
                <w:rFonts w:ascii="Malgun Gothic" w:hAnsi="Malgun Gothic" w:eastAsia="Malgun Gothic"/>
                <w:b w:val="0"/>
                <w:i w:val="0"/>
                <w:color w:val="686D78"/>
                <w:sz w:val="16"/>
              </w:rPr>
              <w:t xml:space="preserve">  콘텐츠 마케팅</w:t>
            </w:r>
          </w:p>
          <w:p>
            <w:pPr>
              <w:keepLines w:val="0"/>
              <w:spacing w:before="0" w:after="20" w:line="281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7"/>
              </w:rPr>
              <w:t>네이버 블로그·YouTube·Instagram·LinkedIn 콘텐츠를 기획·제작·발행하고, 사업계획서·제안서와 발표 자료를 작성했습니다. 전시 부스와 현장 콘텐츠를 기획하고 외부 제작 일정과 결과물을 확인했습니다.</w:t>
            </w:r>
          </w:p>
          <w:p>
            <w:pPr>
              <w:keepLines w:val="0"/>
              <w:spacing w:before="0" w:after="0" w:line="281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7"/>
              </w:rPr>
              <w:t>AI를 활용한 블로그 반복 제작과 검수 흐름을 구축하고, 매주 검색 순위를 점검해 다음 주제와 보완 키워드에 반영했습니다.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c>
          <w:tcPr>
            <w:tcW w:type="dxa" w:w="1757"/>
            <w:tcMar>
              <w:top w:w="70" w:type="dxa"/>
              <w:start w:w="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16"/>
              </w:rPr>
              <w:t>2022.11–2023.11</w:t>
            </w:r>
          </w:p>
        </w:tc>
        <w:tc>
          <w:tcPr>
            <w:tcW w:type="dxa" w:w="8220"/>
            <w:tcMar>
              <w:top w:w="70" w:type="dxa"/>
              <w:start w:w="0" w:type="dxa"/>
              <w:bottom w:w="100" w:type="dxa"/>
              <w:end w:w="0" w:type="dxa"/>
            </w:tcMar>
            <w:tcBorders>
              <w:bottom w:val="single" w:sz="4" w:color="D9DDE7"/>
            </w:tcBorders>
          </w:tcPr>
          <w:p>
            <w:pPr>
              <w:keepLines w:val="0"/>
              <w:spacing w:before="0" w:after="20" w:line="252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20"/>
              </w:rPr>
              <w:t>주식회사 푸딩</w:t>
            </w:r>
            <w:r>
              <w:rPr>
                <w:rFonts w:ascii="Malgun Gothic" w:hAnsi="Malgun Gothic" w:eastAsia="Malgun Gothic"/>
                <w:b w:val="0"/>
                <w:i w:val="0"/>
                <w:color w:val="686D78"/>
                <w:sz w:val="16"/>
              </w:rPr>
              <w:t xml:space="preserve">  그래픽팀</w:t>
            </w:r>
          </w:p>
          <w:p>
            <w:pPr>
              <w:keepLines w:val="0"/>
              <w:spacing w:before="0" w:after="20" w:line="281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7"/>
              </w:rPr>
              <w:t>웹페이지와 그래픽 결과물을 제작하며 콘텐츠 제작에 필요한 시각 구성과 디자인 실무의 기반을 쌓았습니다.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c>
          <w:tcPr>
            <w:tcW w:type="dxa" w:w="1757"/>
            <w:tcMar>
              <w:top w:w="70" w:type="dxa"/>
              <w:start w:w="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16"/>
              </w:rPr>
              <w:t>2021.04–2022.04</w:t>
            </w:r>
          </w:p>
        </w:tc>
        <w:tc>
          <w:tcPr>
            <w:tcW w:type="dxa" w:w="8220"/>
            <w:tcMar>
              <w:top w:w="70" w:type="dxa"/>
              <w:start w:w="0" w:type="dxa"/>
              <w:bottom w:w="100" w:type="dxa"/>
              <w:end w:w="0" w:type="dxa"/>
            </w:tcMar>
            <w:tcBorders>
              <w:bottom w:val="single" w:sz="4" w:color="D9DDE7"/>
            </w:tcBorders>
          </w:tcPr>
          <w:p>
            <w:pPr>
              <w:keepLines w:val="0"/>
              <w:spacing w:before="0" w:after="20" w:line="252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20"/>
              </w:rPr>
              <w:t>대구사이버대학교</w:t>
            </w:r>
            <w:r>
              <w:rPr>
                <w:rFonts w:ascii="Malgun Gothic" w:hAnsi="Malgun Gothic" w:eastAsia="Malgun Gothic"/>
                <w:b w:val="0"/>
                <w:i w:val="0"/>
                <w:color w:val="686D78"/>
                <w:sz w:val="16"/>
              </w:rPr>
              <w:t xml:space="preserve">  기획정보팀</w:t>
            </w:r>
          </w:p>
          <w:p>
            <w:pPr>
              <w:keepLines w:val="0"/>
              <w:spacing w:before="0" w:after="20" w:line="281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7"/>
              </w:rPr>
              <w:t>웹디자인과 교내 디자인 실무를 담당하며 목적과 매체에 맞게 정보를 화면과 시각물로 구성했습니다.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c>
          <w:tcPr>
            <w:tcW w:type="dxa" w:w="1757"/>
            <w:tcMar>
              <w:top w:w="70" w:type="dxa"/>
              <w:start w:w="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16"/>
              </w:rPr>
              <w:t>2014.05–2019.10</w:t>
            </w:r>
          </w:p>
        </w:tc>
        <w:tc>
          <w:tcPr>
            <w:tcW w:type="dxa" w:w="8220"/>
            <w:tcMar>
              <w:top w:w="70" w:type="dxa"/>
              <w:start w:w="0" w:type="dxa"/>
              <w:bottom w:w="100" w:type="dxa"/>
              <w:end w:w="0" w:type="dxa"/>
            </w:tcMar>
          </w:tcPr>
          <w:p>
            <w:pPr>
              <w:keepLines w:val="0"/>
              <w:spacing w:before="0" w:after="20" w:line="252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20"/>
              </w:rPr>
              <w:t>투썸플레이스 대구 영남대점</w:t>
            </w:r>
            <w:r>
              <w:rPr>
                <w:rFonts w:ascii="Malgun Gothic" w:hAnsi="Malgun Gothic" w:eastAsia="Malgun Gothic"/>
                <w:b w:val="0"/>
                <w:i w:val="0"/>
                <w:color w:val="686D78"/>
                <w:sz w:val="16"/>
              </w:rPr>
              <w:t xml:space="preserve">  매장 운영</w:t>
            </w:r>
          </w:p>
          <w:p>
            <w:pPr>
              <w:keepLines w:val="0"/>
              <w:spacing w:before="0" w:after="20" w:line="281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7"/>
              </w:rPr>
              <w:t>고객 응대와 매장 운영을 맡으며 이용자 관점과 현장 운영 경험을 쌓았습니다.</w:t>
            </w:r>
          </w:p>
        </w:tc>
      </w:tr>
    </w:tbl>
    <w:p>
      <w:pPr>
        <w:keepLines/>
        <w:spacing w:before="160" w:after="120" w:line="240" w:lineRule="auto"/>
        <w:pBdr>
          <w:bottom w:val="single" w:sz="10" w:space="4" w:color="3264F5"/>
        </w:pBdr>
      </w:pPr>
      <w:r>
        <w:rPr>
          <w:rFonts w:ascii="Arial" w:hAnsi="Arial" w:eastAsia="Arial"/>
          <w:b/>
          <w:color w:val="3264F5"/>
          <w:sz w:val="16"/>
        </w:rPr>
        <w:t>CORE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Mar>
              <w:top w:w="120" w:type="dxa"/>
              <w:start w:w="130" w:type="dxa"/>
              <w:bottom w:w="120" w:type="dxa"/>
              <w:end w:w="130" w:type="dxa"/>
            </w:tcMar>
            <w:shd w:fill="EEF1FA"/>
            <w:vAlign w:val="center"/>
            <w:tcBorders>
              <w:right w:val="single" w:sz="5" w:color="D9DDE7"/>
            </w:tcBorders>
          </w:tcPr>
          <w:p>
            <w:pPr>
              <w:keepLines/>
              <w:spacing w:before="0" w:after="60" w:line="240" w:lineRule="auto"/>
            </w:pPr>
            <w:r>
              <w:rPr>
                <w:rFonts w:ascii="Malgun Gothic" w:hAnsi="Malgun Gothic" w:eastAsia="Malgun Gothic"/>
                <w:b/>
                <w:color w:val="3264F5"/>
                <w:sz w:val="17"/>
              </w:rPr>
              <w:t>콘텐츠 운영</w:t>
            </w:r>
          </w:p>
          <w:p>
            <w:pPr>
              <w:keepLines/>
              <w:spacing w:before="0" w:after="0" w:line="281" w:lineRule="auto"/>
            </w:pPr>
            <w:r>
              <w:rPr>
                <w:rFonts w:ascii="Malgun Gothic" w:hAnsi="Malgun Gothic" w:eastAsia="Malgun Gothic"/>
                <w:b w:val="0"/>
                <w:color w:val="111318"/>
                <w:sz w:val="15"/>
              </w:rPr>
              <w:t>SNS·SEO 콘텐츠 기획·제작·발행</w:t>
            </w:r>
          </w:p>
        </w:tc>
        <w:tc>
          <w:tcPr>
            <w:tcW w:type="dxa" w:w="2494"/>
            <w:tcMar>
              <w:top w:w="120" w:type="dxa"/>
              <w:start w:w="130" w:type="dxa"/>
              <w:bottom w:w="120" w:type="dxa"/>
              <w:end w:w="130" w:type="dxa"/>
            </w:tcMar>
            <w:shd w:fill="EEF1FA"/>
            <w:vAlign w:val="center"/>
            <w:tcBorders>
              <w:right w:val="single" w:sz="5" w:color="D9DDE7"/>
            </w:tcBorders>
          </w:tcPr>
          <w:p>
            <w:pPr>
              <w:keepLines/>
              <w:spacing w:before="0" w:after="60" w:line="240" w:lineRule="auto"/>
            </w:pPr>
            <w:r>
              <w:rPr>
                <w:rFonts w:ascii="Malgun Gothic" w:hAnsi="Malgun Gothic" w:eastAsia="Malgun Gothic"/>
                <w:b/>
                <w:color w:val="3264F5"/>
                <w:sz w:val="17"/>
              </w:rPr>
              <w:t>사업 문서</w:t>
            </w:r>
          </w:p>
          <w:p>
            <w:pPr>
              <w:keepLines/>
              <w:spacing w:before="0" w:after="0" w:line="281" w:lineRule="auto"/>
            </w:pPr>
            <w:r>
              <w:rPr>
                <w:rFonts w:ascii="Malgun Gothic" w:hAnsi="Malgun Gothic" w:eastAsia="Malgun Gothic"/>
                <w:b w:val="0"/>
                <w:color w:val="111318"/>
                <w:sz w:val="15"/>
              </w:rPr>
              <w:t>시장 조사·사업계획서·제안서 작성</w:t>
            </w:r>
          </w:p>
        </w:tc>
        <w:tc>
          <w:tcPr>
            <w:tcW w:type="dxa" w:w="2494"/>
            <w:tcMar>
              <w:top w:w="120" w:type="dxa"/>
              <w:start w:w="130" w:type="dxa"/>
              <w:bottom w:w="120" w:type="dxa"/>
              <w:end w:w="130" w:type="dxa"/>
            </w:tcMar>
            <w:shd w:fill="EEF1FA"/>
            <w:vAlign w:val="center"/>
            <w:tcBorders>
              <w:right w:val="single" w:sz="5" w:color="D9DDE7"/>
            </w:tcBorders>
          </w:tcPr>
          <w:p>
            <w:pPr>
              <w:keepLines/>
              <w:spacing w:before="0" w:after="60" w:line="240" w:lineRule="auto"/>
            </w:pPr>
            <w:r>
              <w:rPr>
                <w:rFonts w:ascii="Malgun Gothic" w:hAnsi="Malgun Gothic" w:eastAsia="Malgun Gothic"/>
                <w:b/>
                <w:color w:val="3264F5"/>
                <w:sz w:val="17"/>
              </w:rPr>
              <w:t>발표 자료</w:t>
            </w:r>
          </w:p>
          <w:p>
            <w:pPr>
              <w:keepLines/>
              <w:spacing w:before="0" w:after="0" w:line="281" w:lineRule="auto"/>
            </w:pPr>
            <w:r>
              <w:rPr>
                <w:rFonts w:ascii="Malgun Gothic" w:hAnsi="Malgun Gothic" w:eastAsia="Malgun Gothic"/>
                <w:b w:val="0"/>
                <w:color w:val="111318"/>
                <w:sz w:val="15"/>
              </w:rPr>
              <w:t>제안 논리·카피·PPT 정보 구조</w:t>
            </w:r>
          </w:p>
        </w:tc>
        <w:tc>
          <w:tcPr>
            <w:tcW w:type="dxa" w:w="2494"/>
            <w:tcMar>
              <w:top w:w="120" w:type="dxa"/>
              <w:start w:w="130" w:type="dxa"/>
              <w:bottom w:w="120" w:type="dxa"/>
              <w:end w:w="130" w:type="dxa"/>
            </w:tcMar>
            <w:shd w:fill="EEF1FA"/>
            <w:vAlign w:val="center"/>
          </w:tcPr>
          <w:p>
            <w:pPr>
              <w:keepLines/>
              <w:spacing w:before="0" w:after="60" w:line="240" w:lineRule="auto"/>
            </w:pPr>
            <w:r>
              <w:rPr>
                <w:rFonts w:ascii="Malgun Gothic" w:hAnsi="Malgun Gothic" w:eastAsia="Malgun Gothic"/>
                <w:b/>
                <w:color w:val="3264F5"/>
                <w:sz w:val="17"/>
              </w:rPr>
              <w:t>전시 협업</w:t>
            </w:r>
          </w:p>
          <w:p>
            <w:pPr>
              <w:keepLines/>
              <w:spacing w:before="0" w:after="0" w:line="281" w:lineRule="auto"/>
            </w:pPr>
            <w:r>
              <w:rPr>
                <w:rFonts w:ascii="Malgun Gothic" w:hAnsi="Malgun Gothic" w:eastAsia="Malgun Gothic"/>
                <w:b w:val="0"/>
                <w:color w:val="111318"/>
                <w:sz w:val="15"/>
              </w:rPr>
              <w:t>부스·현장 콘텐츠·외부 제작 조율</w:t>
            </w:r>
          </w:p>
        </w:tc>
      </w:tr>
    </w:tbl>
    <w:p>
      <w:r>
        <w:br w:type="page"/>
      </w:r>
    </w:p>
    <w:p>
      <w:pPr>
        <w:keepLines w:val="0"/>
        <w:spacing w:before="0" w:after="20" w:line="240" w:lineRule="auto"/>
        <w:jc w:val="left"/>
      </w:pPr>
      <w:r>
        <w:rPr>
          <w:rFonts w:ascii="Arial" w:hAnsi="Arial" w:eastAsia="Arial"/>
          <w:b/>
          <w:i w:val="0"/>
          <w:color w:val="3264F5"/>
          <w:sz w:val="16"/>
        </w:rPr>
        <w:t>SELECTED PROJECTS</w:t>
      </w:r>
    </w:p>
    <w:p>
      <w:pPr>
        <w:keepLines w:val="0"/>
        <w:spacing w:before="0" w:after="160" w:line="252" w:lineRule="auto"/>
        <w:jc w:val="left"/>
      </w:pPr>
      <w:r>
        <w:rPr>
          <w:rFonts w:ascii="Malgun Gothic" w:hAnsi="Malgun Gothic" w:eastAsia="Malgun Gothic"/>
          <w:b/>
          <w:i w:val="0"/>
          <w:color w:val="111318"/>
          <w:sz w:val="37"/>
        </w:rPr>
        <w:t>결과물과 운영 방식으로 연결한 대표 프로젝트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c>
          <w:tcPr>
            <w:tcW w:type="dxa" w:w="4988"/>
            <w:tcMar>
              <w:top w:w="170" w:type="dxa"/>
              <w:start w:w="170" w:type="dxa"/>
              <w:bottom w:w="170" w:type="dxa"/>
              <w:end w:w="170" w:type="dxa"/>
            </w:tcMar>
            <w:vAlign w:val="top"/>
            <w:tcBorders>
              <w:right w:val="single" w:sz="5" w:color="D9DDE7"/>
              <w:bottom w:val="single" w:sz="5" w:color="D9DDE7"/>
            </w:tcBorders>
          </w:tcPr>
          <w:p>
            <w:pPr>
              <w:keepLines w:val="0"/>
              <w:spacing w:before="0" w:after="6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3264F5"/>
                <w:sz w:val="16"/>
              </w:rPr>
              <w:t>01</w:t>
            </w:r>
          </w:p>
          <w:p>
            <w:pPr>
              <w:keepLines w:val="0"/>
              <w:spacing w:before="0" w:after="80" w:line="264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22"/>
              </w:rPr>
              <w:t>콘텐츠 운영 자동화</w:t>
            </w:r>
          </w:p>
          <w:p>
            <w:pPr>
              <w:keepLines w:val="0"/>
              <w:spacing w:before="0" w:after="100" w:line="288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7"/>
              </w:rPr>
              <w:t>블로그 초안 생성, 1차 검수 스킬, 직접 수정과 2차 검수, 발행과 SEO 피드백을 하나의 반복 흐름으로 구성했습니다.</w:t>
            </w:r>
          </w:p>
          <w:p>
            <w:pPr>
              <w:keepLines w:val="0"/>
              <w:spacing w:before="0" w:after="0" w:line="278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16"/>
              </w:rPr>
              <w:t>추적 키워드 10개 모두 검색 노출 · 9개 5위 이내 · 5개 1위</w:t>
            </w:r>
          </w:p>
        </w:tc>
        <w:tc>
          <w:tcPr>
            <w:tcW w:type="dxa" w:w="4988"/>
            <w:tcMar>
              <w:top w:w="170" w:type="dxa"/>
              <w:start w:w="170" w:type="dxa"/>
              <w:bottom w:w="170" w:type="dxa"/>
              <w:end w:w="170" w:type="dxa"/>
            </w:tcMar>
            <w:vAlign w:val="top"/>
            <w:tcBorders>
              <w:bottom w:val="single" w:sz="5" w:color="D9DDE7"/>
            </w:tcBorders>
          </w:tcPr>
          <w:p>
            <w:pPr>
              <w:keepLines w:val="0"/>
              <w:spacing w:before="0" w:after="6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3264F5"/>
                <w:sz w:val="16"/>
              </w:rPr>
              <w:t>02</w:t>
            </w:r>
          </w:p>
          <w:p>
            <w:pPr>
              <w:keepLines w:val="0"/>
              <w:spacing w:before="0" w:after="80" w:line="264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22"/>
              </w:rPr>
              <w:t>수출바우처 사업계획서</w:t>
            </w:r>
          </w:p>
          <w:p>
            <w:pPr>
              <w:keepLines w:val="0"/>
              <w:spacing w:before="0" w:after="100" w:line="288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7"/>
              </w:rPr>
              <w:t>AI로 조사 자료를 정리하고 시장 환경, 회사 역량, 수출 목표와 실행 계획이 이어지도록 구조를 직접 설계해 세 차례 개정했습니다.</w:t>
            </w:r>
          </w:p>
          <w:p>
            <w:pPr>
              <w:keepLines w:val="0"/>
              <w:spacing w:before="0" w:after="0" w:line="278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16"/>
              </w:rPr>
              <w:t>2026년 1차 수출바우처 사업 선정 · 총 4,500만 원 규모</w:t>
            </w:r>
          </w:p>
        </w:tc>
      </w:tr>
      <w:tr>
        <w:tc>
          <w:tcPr>
            <w:tcW w:type="dxa" w:w="4988"/>
            <w:tcMar>
              <w:top w:w="170" w:type="dxa"/>
              <w:start w:w="170" w:type="dxa"/>
              <w:bottom w:w="170" w:type="dxa"/>
              <w:end w:w="170" w:type="dxa"/>
            </w:tcMar>
            <w:vAlign w:val="top"/>
            <w:tcBorders>
              <w:right w:val="single" w:sz="5" w:color="D9DDE7"/>
            </w:tcBorders>
          </w:tcPr>
          <w:p>
            <w:pPr>
              <w:keepLines w:val="0"/>
              <w:spacing w:before="0" w:after="6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3264F5"/>
                <w:sz w:val="16"/>
              </w:rPr>
              <w:t>03</w:t>
            </w:r>
          </w:p>
          <w:p>
            <w:pPr>
              <w:keepLines w:val="0"/>
              <w:spacing w:before="0" w:after="80" w:line="264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22"/>
              </w:rPr>
              <w:t>HP 공동 웨비나</w:t>
            </w:r>
          </w:p>
          <w:p>
            <w:pPr>
              <w:keepLines w:val="0"/>
              <w:spacing w:before="0" w:after="100" w:line="288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7"/>
              </w:rPr>
              <w:t>회사 YouTube 기술 콘텐츠를 바탕으로 제조 현장의 문제와 3D 프린팅 적용 사례가 이어지도록 더프라임그룹 발표 섹션을 구성·디자인했습니다.</w:t>
            </w:r>
          </w:p>
          <w:p>
            <w:pPr>
              <w:keepLines w:val="0"/>
              <w:spacing w:before="0" w:after="0" w:line="278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16"/>
              </w:rPr>
              <w:t>230명 등록 · 약 170명 실시간 참석 · 후속 신청 37건</w:t>
            </w:r>
          </w:p>
        </w:tc>
        <w:tc>
          <w:tcPr>
            <w:tcW w:type="dxa" w:w="4988"/>
            <w:tcMar>
              <w:top w:w="170" w:type="dxa"/>
              <w:start w:w="170" w:type="dxa"/>
              <w:bottom w:w="170" w:type="dxa"/>
              <w:end w:w="170" w:type="dxa"/>
            </w:tcMar>
            <w:vAlign w:val="top"/>
          </w:tcPr>
          <w:p>
            <w:pPr>
              <w:keepLines w:val="0"/>
              <w:spacing w:before="0" w:after="6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3264F5"/>
                <w:sz w:val="16"/>
              </w:rPr>
              <w:t>04</w:t>
            </w:r>
          </w:p>
          <w:p>
            <w:pPr>
              <w:keepLines w:val="0"/>
              <w:spacing w:before="0" w:after="80" w:line="264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22"/>
              </w:rPr>
              <w:t>KOREA MAT 전시</w:t>
            </w:r>
          </w:p>
          <w:p>
            <w:pPr>
              <w:keepLines w:val="0"/>
              <w:spacing w:before="0" w:after="100" w:line="288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7"/>
              </w:rPr>
              <w:t>AMR 시연과 상담이 이어지도록 부스 공간과 상영 영상, 현장 콘텐츠를 기획하고 외부 제작 일정과 구현 결과를 확인했습니다.</w:t>
            </w:r>
          </w:p>
          <w:p>
            <w:pPr>
              <w:keepLines w:val="0"/>
              <w:spacing w:before="0" w:after="0" w:line="278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16"/>
              </w:rPr>
              <w:t>부스 구성과 직접 촬영·편집한 상영 영상 현장 구현</w:t>
            </w:r>
          </w:p>
        </w:tc>
      </w:tr>
    </w:tbl>
    <w:p>
      <w:pPr>
        <w:keepLines/>
        <w:spacing w:before="160" w:after="100" w:line="240" w:lineRule="auto"/>
        <w:jc w:val="left"/>
        <w:pBdr>
          <w:bottom w:val="single" w:sz="10" w:space="4" w:color="3264F5"/>
        </w:pBdr>
      </w:pPr>
      <w:r>
        <w:rPr>
          <w:rFonts w:ascii="Arial" w:hAnsi="Arial" w:eastAsia="Arial"/>
          <w:b/>
          <w:i w:val="0"/>
          <w:color w:val="3264F5"/>
          <w:sz w:val="16"/>
        </w:rPr>
        <w:t>HOW I 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26"/>
        <w:gridCol w:w="3326"/>
        <w:gridCol w:w="3326"/>
      </w:tblGrid>
      <w:tr>
        <w:tc>
          <w:tcPr>
            <w:tcW w:type="dxa" w:w="332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right w:val="single" w:sz="5" w:color="D9DDE7"/>
            </w:tcBorders>
          </w:tcPr>
          <w:p>
            <w:pPr>
              <w:keepLines w:val="0"/>
              <w:spacing w:before="0" w:after="6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17"/>
              </w:rPr>
              <w:t>01  정리</w:t>
            </w:r>
          </w:p>
          <w:p>
            <w:pPr>
              <w:keepLines w:val="0"/>
              <w:spacing w:before="0" w:after="0" w:line="283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7"/>
              </w:rPr>
              <w:t>자료와 목적을 확인하고 독자에게 필요한 정보와 순서를 정합니다.</w:t>
            </w:r>
          </w:p>
        </w:tc>
        <w:tc>
          <w:tcPr>
            <w:tcW w:type="dxa" w:w="332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right w:val="single" w:sz="5" w:color="D9DDE7"/>
            </w:tcBorders>
          </w:tcPr>
          <w:p>
            <w:pPr>
              <w:keepLines w:val="0"/>
              <w:spacing w:before="0" w:after="6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17"/>
              </w:rPr>
              <w:t>02  제작</w:t>
            </w:r>
          </w:p>
          <w:p>
            <w:pPr>
              <w:keepLines w:val="0"/>
              <w:spacing w:before="0" w:after="0" w:line="283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7"/>
              </w:rPr>
              <w:t>콘텐츠, 사업 문서, 영상, 전시에 맞게 내용과 제작 단계를 구성합니다.</w:t>
            </w:r>
          </w:p>
        </w:tc>
        <w:tc>
          <w:tcPr>
            <w:tcW w:type="dxa" w:w="332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 w:val="0"/>
              <w:spacing w:before="0" w:after="60" w:line="240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3264F5"/>
                <w:sz w:val="17"/>
              </w:rPr>
              <w:t>03  검수</w:t>
            </w:r>
          </w:p>
          <w:p>
            <w:pPr>
              <w:keepLines w:val="0"/>
              <w:spacing w:before="0" w:after="0" w:line="283" w:lineRule="auto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7"/>
              </w:rPr>
              <w:t>AI 결과와 외부 제작물을 그대로 쓰지 않고 출처와 최종 내용을 확인합니다.</w:t>
            </w:r>
          </w:p>
        </w:tc>
      </w:tr>
    </w:tbl>
    <w:p>
      <w:pPr>
        <w:keepLines/>
        <w:spacing w:before="160" w:after="80" w:line="240" w:lineRule="auto"/>
        <w:jc w:val="left"/>
        <w:pBdr>
          <w:bottom w:val="single" w:sz="10" w:space="4" w:color="3264F5"/>
        </w:pBdr>
      </w:pPr>
      <w:r>
        <w:rPr>
          <w:rFonts w:ascii="Arial" w:hAnsi="Arial" w:eastAsia="Arial"/>
          <w:b/>
          <w:i w:val="0"/>
          <w:color w:val="3264F5"/>
          <w:sz w:val="16"/>
        </w:rPr>
        <w:t>TRAINING &amp;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c>
          <w:tcPr>
            <w:tcW w:type="dxa" w:w="4988"/>
            <w:tcMar>
              <w:top w:w="70" w:type="dxa"/>
              <w:start w:w="0" w:type="dxa"/>
              <w:bottom w:w="70" w:type="dxa"/>
              <w:end w:w="250" w:type="dxa"/>
            </w:tcMar>
            <w:tcBorders>
              <w:right w:val="single" w:sz="5" w:color="D9DDE7"/>
            </w:tcBorders>
          </w:tcPr>
          <w:p>
            <w:pPr>
              <w:keepLines w:val="0"/>
              <w:spacing w:before="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3264F5"/>
                <w:sz w:val="16"/>
              </w:rPr>
              <w:t>EDUCATION</w:t>
            </w:r>
          </w:p>
          <w:p>
            <w:pPr>
              <w:keepLines w:val="0"/>
              <w:spacing w:before="0" w:after="40" w:line="269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16"/>
              </w:rPr>
              <w:t xml:space="preserve">2020.06–2020.12  </w:t>
            </w: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6"/>
              </w:rPr>
              <w:t>SBS컴퓨터아카데미 · 스마트기기 UI/UX 웹디자인 양성과정</w:t>
            </w:r>
          </w:p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16"/>
              </w:rPr>
              <w:t xml:space="preserve">2008.03–2010.02  </w:t>
            </w: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6"/>
              </w:rPr>
              <w:t>수성대학교 · 호텔조리과 졸업</w:t>
            </w:r>
          </w:p>
        </w:tc>
        <w:tc>
          <w:tcPr>
            <w:tcW w:type="dxa" w:w="4988"/>
            <w:tcMar>
              <w:top w:w="70" w:type="dxa"/>
              <w:start w:w="250" w:type="dxa"/>
              <w:bottom w:w="70" w:type="dxa"/>
              <w:end w:w="0" w:type="dxa"/>
            </w:tcMar>
          </w:tcPr>
          <w:p>
            <w:pPr>
              <w:keepLines w:val="0"/>
              <w:spacing w:before="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3264F5"/>
                <w:sz w:val="16"/>
              </w:rPr>
              <w:t>TOOLS</w:t>
            </w:r>
          </w:p>
          <w:p>
            <w:pPr>
              <w:keepLines w:val="0"/>
              <w:spacing w:before="0" w:after="60" w:line="276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16"/>
              </w:rPr>
              <w:t xml:space="preserve">조사·초안·구조화  </w:t>
            </w: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6"/>
              </w:rPr>
              <w:t>GPT, Perplexity, Gemini, NotebookLM, Claude Code, Codex</w:t>
            </w:r>
          </w:p>
          <w:p>
            <w:pPr>
              <w:keepLines w:val="0"/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11318"/>
                <w:sz w:val="16"/>
              </w:rPr>
              <w:t xml:space="preserve">디자인·영상  </w:t>
            </w:r>
            <w:r>
              <w:rPr>
                <w:rFonts w:ascii="Malgun Gothic" w:hAnsi="Malgun Gothic" w:eastAsia="Malgun Gothic"/>
                <w:b w:val="0"/>
                <w:i w:val="0"/>
                <w:color w:val="111318"/>
                <w:sz w:val="16"/>
              </w:rPr>
              <w:t>Photoshop, Illustrator, Figma, Premiere Pro</w:t>
            </w:r>
          </w:p>
        </w:tc>
      </w:tr>
    </w:tbl>
    <w:p>
      <w:pPr>
        <w:keepLines w:val="0"/>
        <w:spacing w:before="200" w:after="0" w:line="264" w:lineRule="auto"/>
        <w:jc w:val="center"/>
      </w:pPr>
      <w:r>
        <w:rPr>
          <w:rFonts w:ascii="Malgun Gothic" w:hAnsi="Malgun Gothic" w:eastAsia="Malgun Gothic"/>
          <w:b w:val="0"/>
          <w:i w:val="0"/>
          <w:color w:val="686D78"/>
          <w:sz w:val="17"/>
        </w:rPr>
        <w:t xml:space="preserve">프로젝트의 상세 과정과 근거는 웹 포트폴리오에서 확인할 수 있습니다.  </w:t>
      </w:r>
      <w:hyperlink r:id="rId12">
        <w:r>
          <w:rPr>
            <w:rFonts w:ascii="Malgun Gothic" w:hAnsi="Malgun Gothic" w:eastAsia="Malgun Gothic"/>
            <w:color w:val="3264F5"/>
            <w:sz w:val="17"/>
            <w:szCs w:val="17"/>
          </w:rPr>
          <w:t>lim-so-hee.github.io  ↗</w:t>
        </w:r>
      </w:hyperlink>
    </w:p>
    <w:sectPr>
      <w:footerReference w:type="default" r:id="rId9"/>
      <w:pgSz w:w="11906" w:h="16838"/>
      <w:pgMar w:top="850" w:right="964" w:bottom="794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76" w:lineRule="auto"/>
      <w:jc w:val="right"/>
    </w:pPr>
    <w:r>
      <w:rPr>
        <w:rFonts w:ascii="Arial" w:hAnsi="Arial" w:eastAsia="Arial"/>
        <w:b w:val="0"/>
        <w:i w:val="0"/>
        <w:color w:val="686D78"/>
        <w:sz w:val="15"/>
      </w:rPr>
      <w:t xml:space="preserve">IM SOHEE  ·  CONTENT STRATEGY &amp; OPERATIONS  ·  </w:t>
    </w:r>
    <w:r>
      <w:rPr>
        <w:rFonts w:ascii="Arial" w:hAnsi="Arial" w:eastAsia="Arial"/>
        <w:b w:val="0"/>
        <w:i w:val="0"/>
        <w:color w:val="686D78"/>
        <w:sz w:val="15"/>
      </w:rPr>
      <w:t>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algun Gothic" w:hAnsi="Malgun Gothic" w:eastAsia="Malgun Gothic"/>
      <w:color w:val="11131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264F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1131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113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sohee.lim.lsh@gmail.com" TargetMode="External"/><Relationship Id="rId11" Type="http://schemas.openxmlformats.org/officeDocument/2006/relationships/hyperlink" Target="https://www.linkedin.com/in/sohee-lim-mkt" TargetMode="External"/><Relationship Id="rId12" Type="http://schemas.openxmlformats.org/officeDocument/2006/relationships/hyperlink" Target="https://lim-so-hee.github.io" TargetMode="External"/><Relationship Id="rId1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임소희 콘텐츠 기획·운영 마케터 이력서</dc:title>
  <dc:subject>공개 이력서</dc:subject>
  <dc:creator/>
  <cp:keywords>콘텐츠 기획, 콘텐츠 운영, 마케팅, 포트폴리오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