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napToGrid w:val="false"/>
        <w:jc w:val="start"/>
        <w:rPr>
          <w:rFonts w:eastAsia="仿宋_GB2312" w:cs="Times New Roman" w:hint="eastAsia"/>
          <w:szCs w:val="22"/>
        </w:rPr>
      </w:pPr>
      <w:r>
        <w:rPr>
          <w:rFonts w:cs="Times New Roman" w:hint="eastAsia"/>
          <w:szCs w:val="22"/>
        </w:rPr>
        <w:t>附件</w:t>
      </w:r>
      <w:r>
        <w:rPr>
          <w:rFonts w:cs="Times New Roman" w:hint="eastAsia"/>
          <w:szCs w:val="22"/>
        </w:rPr>
        <w:t>1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24"/>
          <w:szCs w:val="22"/>
        </w:rPr>
        <w:tab/>
      </w:r>
      <w:r>
        <w:rPr>
          <w:rFonts w:cs="Times New Roman" w:hint="eastAsia"/>
          <w:b/>
          <w:sz w:val="36"/>
          <w:szCs w:val="36"/>
        </w:rPr>
        <w:t>免征车辆购置税的新能源汽车车型目录（第二十八批）</w:t>
      </w:r>
    </w:p>
    <w:p>
      <w:pPr>
        <w:pStyle w:val="Normal"/>
        <w:widowControl/>
        <w:tabs>
          <w:tab w:val="clear" w:pos="709"/>
          <w:tab w:val="center" w:pos="7759" w:leader="none"/>
          <w:tab w:val="left" w:pos="13140" w:leader="none"/>
        </w:tabs>
        <w:snapToGrid w:val="false"/>
        <w:jc w:val="start"/>
        <w:rPr>
          <w:rFonts w:cs="Times New Roman" w:hint="eastAsia"/>
          <w:b/>
          <w:sz w:val="36"/>
          <w:szCs w:val="36"/>
        </w:rPr>
      </w:pPr>
      <w:r>
        <w:rPr>
          <w:rFonts w:cs="Times New Roman" w:hint="eastAsia"/>
          <w:b/>
          <w:sz w:val="36"/>
          <w:szCs w:val="36"/>
        </w:rPr>
      </w:r>
    </w:p>
    <w:p>
      <w:pPr>
        <w:pStyle w:val="Normal"/>
        <w:widowControl/>
        <w:numPr>
          <w:ilvl w:val="0"/>
          <w:numId w:val="14"/>
        </w:numPr>
        <w:snapToGrid w:val="false"/>
        <w:ind w:firstLineChars="300" w:startChars="0" w:start="0" w:endChars="0" w:end="0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纯电动汽车</w:t>
      </w:r>
    </w:p>
    <w:p>
      <w:pPr>
        <w:pStyle w:val="Normal"/>
        <w:widowControl/>
        <w:numPr>
          <w:ilvl w:val="0"/>
          <w:numId w:val="6"/>
        </w:numPr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hint="eastAsia"/>
          <w:b/>
          <w:sz w:val="28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18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36"/>
        <w:gridCol w:w="3855"/>
        <w:gridCol w:w="2010"/>
        <w:gridCol w:w="2610"/>
        <w:gridCol w:w="1095"/>
        <w:gridCol w:w="1005"/>
        <w:gridCol w:w="1605"/>
        <w:gridCol w:w="1500"/>
        <w:gridCol w:w="773"/>
      </w:tblGrid>
      <w:tr>
        <w:trPr>
          <w:tblHeader w:val="true"/>
          <w:trHeight w:val="90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kWh</w:t>
            </w:r>
            <w:r>
              <w:rPr>
                <w:rFonts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)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1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东风小康汽车有限公司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DXK6450EC8BEV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东风小康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EC36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302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1575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309±9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DFM7000N1FBEV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奕炫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EV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1541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CC7000ZM03BBEV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R1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251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977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198±5.9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CC7001ZM00CBEV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欧拉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R2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977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193±5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SC6453BAABEV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睿行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EM60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220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1700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威马汽车制造温州有限公司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SZS6460A28BEV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EX5400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384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BYD6450VBEV2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比亚迪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M3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360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1750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QCJ6490SBEV1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腾势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2330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515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东风柳州汽车有限公司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LZ6512MLANEV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菱智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M5EV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1960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LZ6515MLAEV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菱智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M5EV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422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1850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LZ6516MLAEV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菱智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M5EV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1930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439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70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上汽通用五菱汽车股份有限公司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LZW7001EVDEP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宝骏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E100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840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176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重庆长安汽车股份有限公司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SC7003ADABEV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逸动 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E-Life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425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1635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四川野马汽车股份有限公司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SQJ7001EK2BEV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雷丁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i5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SQJ7001EK3BEV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星歌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26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SQJ7001EK4BEV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星歌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1010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上海汽车集团股份有限公司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CSA6461FBEV3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Marvel X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330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1880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380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中恒天智骏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赣州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ZHT7000KD02EV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GC1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338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1130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240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浙江合众新能源汽车有限公司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THZ6450BEVS304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哪吒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U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501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1725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405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66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90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河南速达电动汽车科技有限公司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SDE7001DCGBEV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SA01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305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1390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317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90" w:hRule="atLeast"/>
        </w:trPr>
        <w:tc>
          <w:tcPr>
            <w:tcW w:w="7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江苏敏安电动汽车有限公司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MA6470BEVA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MX-6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355</w:t>
            </w:r>
          </w:p>
        </w:tc>
        <w:tc>
          <w:tcPr>
            <w:tcW w:w="10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1819</w:t>
            </w:r>
          </w:p>
        </w:tc>
        <w:tc>
          <w:tcPr>
            <w:tcW w:w="1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403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rPr>
          <w:rFonts w:hint="eastAsia"/>
          <w:b/>
          <w:sz w:val="28"/>
        </w:rPr>
      </w:pPr>
      <w:r>
        <w:rPr>
          <w:rFonts w:hint="eastAsia"/>
          <w:b/>
          <w:sz w:val="28"/>
        </w:rPr>
      </w:r>
    </w:p>
    <w:p>
      <w:pPr>
        <w:pStyle w:val="Normal"/>
        <w:widowControl/>
        <w:tabs>
          <w:tab w:val="clear" w:pos="709"/>
          <w:tab w:val="left" w:pos="4726" w:leader="none"/>
        </w:tabs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（二）客车</w:t>
      </w:r>
    </w:p>
    <w:tbl>
      <w:tblPr>
        <w:tblW w:w="1518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51"/>
        <w:gridCol w:w="3405"/>
        <w:gridCol w:w="1545"/>
        <w:gridCol w:w="2040"/>
        <w:gridCol w:w="1185"/>
        <w:gridCol w:w="2580"/>
        <w:gridCol w:w="1455"/>
        <w:gridCol w:w="1455"/>
        <w:gridCol w:w="773"/>
      </w:tblGrid>
      <w:tr>
        <w:trPr>
          <w:tblHeader w:val="true"/>
          <w:trHeight w:val="540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东风特种汽车有限公司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EQ6810CTBEV5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6650/6850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904±27.12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EQ6850CTBEV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8650/8900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1604±48.12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226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BJ6123EVCA-52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11600/12000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BJ6123EVCA-53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11300/11800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BJ6650EVCA-7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5450/5650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BJ6650EVCA-8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5650/5850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山西新能源汽车工业有限公司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JHC6100BEVG7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11400/11800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丹东黄海汽车有限责任公司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DD6110KEV5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260/300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11500/11900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1162/1313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163/184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上海申沃客车有限公司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SWB6788BEV65G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常州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BJ6731B11EV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6100/6300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扬州亚星客车股份有限公司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JS6108GHBEV30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501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10200/10700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JS6108GHBEV31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10100/10500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JS6815GHBEV10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7100/7400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JS6851GHBEV25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323/370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7500/7600/7900/8000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983/1332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157.5/180.8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YBL6829GHBEV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7900/8350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YBL6829GHBEV1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7900/8350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JK6106GBEVQ4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JK6106GBEVQ5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10880/11180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1958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JK6106GBEVQ8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10880/11180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JK6116HBEVQA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12000/12300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2324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JK6126GBEVQ1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11650/12000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JK6126GBEVQ4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12250/12600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JK6126GBEVQ70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12100/12400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JK6126HBEVQA1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12100/12400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JK6806GBEVQ4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JK6806GBEVQ5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7150/6800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ZZ6126GBEVQ1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12350/12700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ZZ6126GBEVQ3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11800/11480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ZZ6126HBEVQA2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12500/12800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2324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ZZ6186GBEVQ1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18200/18700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1776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ZZ6661GBEVQ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5000/5250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ZZ6806GBEVQ6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7250/7550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ZZ6806GBEVQ7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ZZ6856GBEVQ1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8000/8250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ZK6105BEVG65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9500/9900/10350/10800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ZK6106BEVG4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9700/10150/10600/11100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ZK6126BEVG6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9090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ZK6650BEVG28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5050/5250/5450/5650/5800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BYD6900B4EV1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东风云南汽车有限公司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EQ6810GPBEV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7860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金龙联合汽车工业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苏州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KLQ6106GAEVN6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10900/10750/10500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KLQ6106GAEVN7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11100/10800/10500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KLQ6109GAEVNT2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11100/10800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1800±54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KLQ6816GAEVN2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7300/7600/7900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KLQ6856GAEVN4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8000/8300/8600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KLQ6856GAEVN5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8200/8550/8700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XMQ6105AGBEVL1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10950/11600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XML6105JEVJ0CB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10900/10600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XML6105JEVJ0CD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1898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XML6185JEVJ0C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21000/18500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3396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XML6700JEVY0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443.4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5350/5550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983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XML6805JEVJ0C7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349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XML6827JEVJ0C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LCK6126EVGL1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12100/12850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LCK6180EVGDA1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纯电动铰接低地板城市客车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17600/18450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1776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LCK6806EVGA1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6900/6500/6320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LCK6808EVQD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7900/7500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983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LCK6816EVGC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6600/6800/7000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LCK6826EVG3A8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7950/7500/7070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LCK6826EVG3L1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7950/7500/7070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SLK6109UBEVB1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10900/11200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2086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SLK6109UBEVL11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1824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SLK6109UBEVL7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SLK6109UBEVN1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SLK6118ABEVL3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11500/12000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SLK6121UBEVN1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12200/12600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2260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SLK6121UBEVX1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纯电动低地板城市客车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12200/12600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2260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SLK6819UBEVC1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SLK6819UBEVN11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SLK6819UBEVN13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SLK6819UBEVN5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NJL6100EV22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10650/11000/11350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1676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NJL6100GSEV1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2270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NJL6117EVG5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11960/12460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1816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NJL6127EV2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12350/12650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NJL6129EV10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12000/12300/12600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2270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NJL6129EV9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12050/12350/12650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2270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NJL6129GSEV1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16200/16600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NJL6706EV1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4800/5000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549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NJL6822BEV1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8400/8550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NJL6851EV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8800/9050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NJL6859EV6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7950/8150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NJL6902EV1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8750/9050/9400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万向集团公司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WXB6100GEV9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11800;12200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WXB6121GEV11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纯电动低入口城市客车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2625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WXB6860GEV4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CDK6116CBEV7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10900/10500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1595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GTQ6103BEVBT21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11425/11725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 w:hint="eastAsia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GTQ6105BEVB23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GTQ6105BEVB28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11200/11400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2118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GTQ6121BEVB21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12000/12500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GTQ6121BEVBT23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12550/12930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  <w:r>
              <w:rPr>
                <w:rFonts w:cs="Calibri" w:hint="eastAsia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GTQ6853BEVB20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8500/8800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1020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GTQ6853BEVB21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8850/9100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中兴智能汽车有限公司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GTZ6859BEVB3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8765/8565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KMT6802GBEV4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6700/6450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11300/11750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2130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HQK6109BEVB28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HQK6109BEVB8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HQK6109HFBEVZ1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纯电动双层城市客车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1917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HQK6109UBEVB2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261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HQK6109UBEVB3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10500/11000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HQK6109UBEVL3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449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HQK6109UBEVU4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521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11200/11600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2130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HQK6109UBEVZ7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1690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HQK6109USBEVU13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HQK6109USBEVU15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HQK6109USBEVZ11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10300/10700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HQK6109USBEVZ13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10800/11300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HQK6129BEVB3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HQK6129BEVB4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HQK6129BEVB5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12200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2260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HQK6129BEVB6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HQK6129UBEVU1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HQK6129UBEVZ1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2034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259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239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HQK6819BEVB19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995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HQK6819BEVB9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HQK6819UBEVL2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HQK6819UBEVL3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HQK6819UBEVU4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HQK6819UBEVU6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HQK6819UBEVU7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HQK6819UBEVZ5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7600/7900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HQK6819UBEVZ6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HQK6819UBEVZ7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7700/8000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HQK6859BEVB11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8300/8800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HQK6859BEVB12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8300/8800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HQK6859BEVB13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HQK6859BEVB15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HQK6859BEVB16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8300/8800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8500/9000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930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HQK6859BEVB9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468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8800/9300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HQK6859UBEVL4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HQK6859UBEVL6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HQK6859UBEVL8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351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HQK6859UBEVL9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HQK6859UBEVU3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407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HQK6859UBEVU4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HQK6859UBEVU5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344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HQK6859UBEVU6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HQK6859UBEVU7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342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1178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HQK6859UBEVU8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HQK6859UBEVZ5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HQK6859UBEVZ6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343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1178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HQK6859UBEVZ8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HQK6859UBEVZ9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奇瑞万达贵州客车股份有限公司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WD6660BEVG01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WD6815BEVG09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天津比亚迪汽车有限公司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TJK6110CBDEV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2464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石家庄中博汽车有限公司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SQ6121BEVBT22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13600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南京市公共交通车辆厂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NJC6118TBEV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1544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国唐汽车有限公司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SGK6606BEVGK01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4900/5100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579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江西宜春客车厂有限公司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JYK6102GBEV2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10700/10900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JYK6807GBEV3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7500/7700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1127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武汉客车制造股份有限公司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WH6110GBEV2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10750/10450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1648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XQX6600EVQ1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5100/5300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XQX6851EV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8850/9200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贵州长江汽车有限公司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GK6660GBEV2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4950/5100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576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贵州贵航云马汽车工业有限责任公司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YM6105BEVG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11000/11400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1728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云南航天神州汽车有限公司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YH6600LBEV2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YH6850GBEV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8400/8700/9000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TEG6129BEV12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12300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TEG6129BEV14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12900/12450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2485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钛酸锂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TEG6803BEV02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7150/6950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845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4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珠海市广通客车有限公司</w:t>
            </w:r>
          </w:p>
        </w:tc>
        <w:tc>
          <w:tcPr>
            <w:tcW w:w="15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GTZ6819BEVB2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纯电动城市客车</w:t>
            </w:r>
          </w:p>
        </w:tc>
        <w:tc>
          <w:tcPr>
            <w:tcW w:w="11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7100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772</w:t>
            </w:r>
          </w:p>
        </w:tc>
        <w:tc>
          <w:tcPr>
            <w:tcW w:w="14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（三）货车</w:t>
      </w:r>
    </w:p>
    <w:tbl>
      <w:tblPr>
        <w:tblW w:w="15204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6"/>
        <w:gridCol w:w="3060"/>
        <w:gridCol w:w="1890"/>
        <w:gridCol w:w="2025"/>
        <w:gridCol w:w="1200"/>
        <w:gridCol w:w="2565"/>
        <w:gridCol w:w="1470"/>
        <w:gridCol w:w="1440"/>
        <w:gridCol w:w="788"/>
      </w:tblGrid>
      <w:tr>
        <w:trPr>
          <w:tblHeader w:val="true"/>
          <w:trHeight w:val="540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东风商用车有限公司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DFH3310AEV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纯电动自卸汽车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18500/19000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423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BJ1030EVJA1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293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CC1032PA01BEV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纯电动多用途货车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390±11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北奔重型汽车集团有限公司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ND3310DBXJ7Z00BEV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22000/22600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1632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徐州徐工汽车制造有限公司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XGA4251BEVWC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纯电动半挂牵引车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2432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344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一汽解放青岛汽车有限公司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CA1048P40L2BEVA84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2995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646.0±19.3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BYD3310EG9BEV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17700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2664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QL1040BEVENHW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18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DLP1030BEVT01</w:t>
            </w:r>
          </w:p>
        </w:tc>
        <w:tc>
          <w:tcPr>
            <w:tcW w:w="20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纯电动载货汽车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snapToGrid w:val="false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  <w:r>
        <w:br w:type="page"/>
      </w:r>
    </w:p>
    <w:p>
      <w:pPr>
        <w:pStyle w:val="Normal"/>
        <w:numPr>
          <w:ilvl w:val="0"/>
          <w:numId w:val="4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189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81"/>
        <w:gridCol w:w="3030"/>
        <w:gridCol w:w="1905"/>
        <w:gridCol w:w="2010"/>
        <w:gridCol w:w="1200"/>
        <w:gridCol w:w="2580"/>
        <w:gridCol w:w="1470"/>
        <w:gridCol w:w="1440"/>
        <w:gridCol w:w="773"/>
      </w:tblGrid>
      <w:tr>
        <w:trPr>
          <w:tblHeader w:val="true"/>
          <w:trHeight w:val="540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动力蓄电池组总能量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中国第一汽车集团有限公司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CA5180XXYP62L4BEV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8985/9810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CA5180XXYP62L5BEV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8460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CA5180XYKP62L5BEV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纯电动翼开启厢式车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1162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东风汽车股份有限公司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DFA5010XXYBEV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650/670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BJ5020XYZEV2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BJ5122TSLEV-H1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纯电动扫路车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8100/8500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BJ5122TXSEV-H1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8100/8500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BJ5122ZYSEV-H1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8600/8350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1584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长城汽车股份有限公司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CC5032XXYPA01BEV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1925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390±11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河北长安汽车有限公司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SC5031XXYAAFBEV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251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1560/1590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沈阳金杯车辆制造有限公司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SY5035XTYADBEVG6C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2290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SY5035ZZZADBEVG6C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南京汽车集团有限公司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NJ5040XTYEV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纯电动密闭式桶装垃圾车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北汽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常州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BJ5040XDWCJ04EV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纯电动流动服务车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3865/3930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BJ5040XXYCJ14EV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2730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696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安徽江淮汽车集团股份有限公司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HFC5045XXYEV1-1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HFC5065XLCEV1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3610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728±20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江铃汽车股份有限公司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JX5063XYZTGA25BEV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纯电动邮政车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700±5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郑州宇通客车股份有限公司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ZK5041XLCBEV1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3130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ZK5042XLCBEV1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3130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海马新能源汽车有限公司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ZQ5030XXYZC1BEV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1390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比亚迪汽车工业有限公司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BYD5020XFZBEV1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纯电动福祉车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359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BYD5040XLCBEV1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纯电动冷藏车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752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106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庆铃汽车股份有限公司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QL5040XXYBEVENHW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SQR5030TYHBEVH08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2080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SQR5180GQXBEV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9480/9780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SQR5180TDYBEV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纯电动多功能抑尘车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12130/11980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SQR5180TXSBEV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14200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奇瑞商用车</w:t>
            </w:r>
            <w:r>
              <w:rPr>
                <w:rFonts w:cs="Calibri" w:hint="eastAsia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kern w:val="0"/>
                <w:sz w:val="21"/>
                <w:szCs w:val="21"/>
              </w:rPr>
              <w:t>安徽</w:t>
            </w:r>
            <w:r>
              <w:rPr>
                <w:rFonts w:cs="Calibri" w:hint="eastAsia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kern w:val="0"/>
                <w:sz w:val="21"/>
                <w:szCs w:val="21"/>
              </w:rPr>
              <w:t>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SQR5180ZYSBEV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11300/11600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厦门金龙联合汽车工业有限公司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XMQ5030XXYBEVL01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1875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348±10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XML5036XXYEVL06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SLK5046XXYBEV1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278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SLK5048XXYEBEV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NJL5180GQXBEV1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NJL5180GSSBEV1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10150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NJL5180TCABEV1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NJL5180TXSBEV1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13200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NJL5180ZYSBEV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12870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1886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NJL5310GJBBEV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14860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2330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NJL5310ZLJBEV2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纯电动自卸式垃圾车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18000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2679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程力汽车集团股份有限公司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CL5030TYHBEV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CL5030ZXXBEV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400±5.0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CL5040ZZZBEV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CL5041ZXXBEV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2230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上海万象汽车制造有限公司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SXC5180GSSBEV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纯电动洒水车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8755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1612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珠海广通汽车有限公司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GTQ5043XXYBEV4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630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东莞中汽宏远汽车有限公司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KMT5030XXYBEV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309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广西汽车集团有限公司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GXA5030XXYBEV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1445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河南德力新能源汽车有限公司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DLP5030XXYBEVT01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329±9.8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北京华林特装车有限公司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HLT5041TYHEV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2675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石家庄煤矿机械有限责任公司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SMJ5120TXSBEV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9260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CGJ5041ZZZBEV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纯电动自装卸式垃圾车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292±5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CGJ5070ZYSABEV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5525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CGJ5071ZYSBEV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4995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CGJ5101TCAJXBEV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6745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1108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CGJ5127GXESHBEV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纯电动吸粪车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7835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航天晨光股份有限公司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CGJ5180TXSDFBEV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13350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314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江苏悦达专用车有限公司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YD5123ZYSEQBEV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7440/7620/7800/7980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YD5183ZYSEQBEV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10500/10820/11140/11460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江苏鸿运汽车科技有限公司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NJH5043XDWBEV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纯电动流动服务车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3865/3930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福建龙马环卫装备股份有限公司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FLM5120TCADLBEV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7620/7920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1540±46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215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FLM5180ZXXDFBEV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纯电动车厢可卸式垃圾车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310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242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江西江铃汽车集团改装车股份有限公司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JX5045XJCMJBEV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纯电动检测车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烟台海德专用汽车有限公司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CHD5040TXSSQBEV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275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河南森源重工有限公司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SMQ5080GQXBEV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4920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700±5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SMQ5081TXSBEV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纯电动洗扫车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700±5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郑州比克新能源汽车有限公司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BAK5020XXYBEV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纯电动厢式运输车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260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1410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296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长沙中联重科环境产业有限公司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ZBH5040TYHBYBEV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2880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399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ZBH5040TYHEQBEV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纯电动路面养护车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220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2780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435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ZBH5121ZYSSHBEV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纯电动压缩式垃圾车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8350/8470/8570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ZBH5122GQXSHBEV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406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7750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ZBH5182GQXEQCBEV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纯电动清洗车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1536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219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深圳开沃汽车有限公司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XQX5310GJBBEV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纯电动混凝土搅拌运输车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14860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2330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323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重庆瑞驰汽车实业有限公司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CRC5036XXYA-LBEV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纯电动封闭货车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1520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330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41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30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成都雅骏汽车制造有限公司</w:t>
            </w:r>
          </w:p>
        </w:tc>
        <w:tc>
          <w:tcPr>
            <w:tcW w:w="19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CTT5073TCAGN1BEV</w:t>
            </w:r>
          </w:p>
        </w:tc>
        <w:tc>
          <w:tcPr>
            <w:tcW w:w="20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纯电动餐厨垃圾车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240</w:t>
            </w:r>
          </w:p>
        </w:tc>
        <w:tc>
          <w:tcPr>
            <w:tcW w:w="25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5800</w:t>
            </w:r>
          </w:p>
        </w:tc>
        <w:tc>
          <w:tcPr>
            <w:tcW w:w="14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748±20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97</w:t>
            </w:r>
          </w:p>
        </w:tc>
        <w:tc>
          <w:tcPr>
            <w:tcW w:w="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numPr>
          <w:ilvl w:val="0"/>
          <w:numId w:val="0"/>
        </w:numPr>
        <w:snapToGrid w:val="false"/>
        <w:ind w:hanging="0" w:start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jc w:val="start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Normal"/>
        <w:widowControl/>
        <w:numPr>
          <w:ilvl w:val="0"/>
          <w:numId w:val="5"/>
        </w:numPr>
        <w:snapToGrid w:val="false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插电式混合动力汽车</w:t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乘用车</w:t>
      </w:r>
    </w:p>
    <w:tbl>
      <w:tblPr>
        <w:tblW w:w="15270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6"/>
        <w:gridCol w:w="2565"/>
        <w:gridCol w:w="1800"/>
        <w:gridCol w:w="2505"/>
        <w:gridCol w:w="1035"/>
        <w:gridCol w:w="1095"/>
        <w:gridCol w:w="1095"/>
        <w:gridCol w:w="1305"/>
        <w:gridCol w:w="1335"/>
        <w:gridCol w:w="915"/>
        <w:gridCol w:w="854"/>
      </w:tblGrid>
      <w:tr>
        <w:trPr>
          <w:trHeight w:val="837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通用名称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神龙汽车有限公司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DC6456KLBB16HEVA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4008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5.5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1598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1881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135±2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90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一汽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-</w:t>
            </w: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大众汽车有限公司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/>
                <w:b w:val="false"/>
                <w:bCs w:val="false"/>
                <w:kern w:val="0"/>
                <w:sz w:val="21"/>
                <w:szCs w:val="21"/>
              </w:rPr>
              <w:t>FV7201BAQCHEV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A6L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54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6.6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1984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2150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138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14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SH6471P1PHEV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上汽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MAXUS EUNIQ6 PLUG IN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5.0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1349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1775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130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浙江吉利汽车有限公司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MR7152PHEV13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03 PHEV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1680/1730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MR7153PHEV11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02 PHEV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1729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65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浙江豪情汽车制造有限公司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JL6453PHEV05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01 PHEV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51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4.8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1477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1769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95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5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565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VCC7201H01PPHEV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0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both"/>
              <w:rPr>
                <w:rFonts w:ascii="仿宋_GB2312" w:hAnsi="仿宋_GB2312" w:eastAsia="仿宋_GB2312"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极星</w:t>
            </w: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1</w:t>
            </w:r>
          </w:p>
        </w:tc>
        <w:tc>
          <w:tcPr>
            <w:tcW w:w="10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135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6.6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1969</w:t>
            </w:r>
          </w:p>
        </w:tc>
        <w:tc>
          <w:tcPr>
            <w:tcW w:w="13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2343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前</w:t>
            </w:r>
            <w:r>
              <w:rPr>
                <w:rFonts w:cs="Calibri" w:hint="eastAsia"/>
                <w:kern w:val="0"/>
                <w:sz w:val="21"/>
                <w:szCs w:val="21"/>
              </w:rPr>
              <w:t>:113±2;</w:t>
            </w:r>
            <w:r>
              <w:rPr>
                <w:rFonts w:cs="Calibri" w:hint="eastAsia"/>
                <w:kern w:val="0"/>
                <w:sz w:val="21"/>
                <w:szCs w:val="21"/>
              </w:rPr>
              <w:t>后</w:t>
            </w:r>
            <w:r>
              <w:rPr>
                <w:rFonts w:cs="Calibri" w:hint="eastAsia"/>
                <w:kern w:val="0"/>
                <w:sz w:val="21"/>
                <w:szCs w:val="21"/>
              </w:rPr>
              <w:t>:226.5±2</w:t>
            </w:r>
          </w:p>
        </w:tc>
        <w:tc>
          <w:tcPr>
            <w:tcW w:w="9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前</w:t>
            </w:r>
            <w:r>
              <w:rPr>
                <w:rFonts w:cs="Calibri" w:hint="eastAsia"/>
                <w:kern w:val="0"/>
                <w:sz w:val="21"/>
                <w:szCs w:val="21"/>
              </w:rPr>
              <w:t>:11.6;</w:t>
            </w:r>
            <w:r>
              <w:rPr>
                <w:rFonts w:cs="Calibri" w:hint="eastAsia"/>
                <w:kern w:val="0"/>
                <w:sz w:val="21"/>
                <w:szCs w:val="21"/>
              </w:rPr>
              <w:t>后</w:t>
            </w:r>
            <w:r>
              <w:rPr>
                <w:rFonts w:cs="Calibri" w:hint="eastAsia"/>
                <w:kern w:val="0"/>
                <w:sz w:val="21"/>
                <w:szCs w:val="21"/>
              </w:rPr>
              <w:t>:23.2</w:t>
            </w:r>
          </w:p>
        </w:tc>
        <w:tc>
          <w:tcPr>
            <w:tcW w:w="8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ascii="仿宋_GB2312" w:hAnsi="仿宋_GB2312" w:eastAsia="仿宋_GB2312" w:cs="Calibri" w:hint="eastAsia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kern w:val="0"/>
                <w:sz w:val="2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  <w:szCs w:val="22"/>
        </w:rPr>
      </w:pPr>
      <w:r>
        <w:rPr>
          <w:rFonts w:hint="eastAsia"/>
          <w:bCs/>
          <w:sz w:val="24"/>
          <w:szCs w:val="22"/>
        </w:rPr>
        <w:t>注：插电式混合动力汽车燃料消耗量仅包括传统燃料</w:t>
      </w:r>
      <w:r>
        <w:rPr>
          <w:rFonts w:hint="eastAsia"/>
          <w:bCs/>
          <w:sz w:val="24"/>
          <w:szCs w:val="22"/>
        </w:rPr>
        <w:t>/</w:t>
      </w:r>
      <w:r>
        <w:rPr>
          <w:rFonts w:hint="eastAsia"/>
          <w:bCs/>
          <w:sz w:val="24"/>
          <w:szCs w:val="22"/>
        </w:rPr>
        <w:t>不含电能折算。</w:t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  <w:szCs w:val="22"/>
        </w:rPr>
      </w:pPr>
      <w:r>
        <w:rPr>
          <w:rFonts w:hint="eastAsia"/>
          <w:bCs/>
          <w:sz w:val="24"/>
          <w:szCs w:val="22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  <w:r>
        <w:br w:type="page"/>
      </w:r>
    </w:p>
    <w:p>
      <w:pPr>
        <w:pStyle w:val="Normal"/>
        <w:widowControl/>
        <w:numPr>
          <w:ilvl w:val="0"/>
          <w:numId w:val="12"/>
        </w:numPr>
        <w:snapToGrid w:val="false"/>
        <w:ind w:firstLineChars="20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28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51"/>
        <w:gridCol w:w="2220"/>
        <w:gridCol w:w="1755"/>
        <w:gridCol w:w="2100"/>
        <w:gridCol w:w="1140"/>
        <w:gridCol w:w="1148"/>
        <w:gridCol w:w="1155"/>
        <w:gridCol w:w="1852"/>
        <w:gridCol w:w="1095"/>
        <w:gridCol w:w="1215"/>
        <w:gridCol w:w="855"/>
      </w:tblGrid>
      <w:tr>
        <w:trPr>
          <w:tblHeader w:val="true"/>
          <w:trHeight w:val="810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纯电动续驶里程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燃料消耗量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(L/100km)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发动机排量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(mL)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动力蓄电池总能量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(kWh)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2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北汽福田汽车股份有限公司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BJ6105CHEVCA-12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14.8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6870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10900/11200/11500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BJ6105CHEVCA-17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13.6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11200/11700/12150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342±9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BJ6123CHEVCA-11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14.2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11550/12100/12550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342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BJ6123SHEVCA-7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60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103/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12700/13100/13600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920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39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NG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,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钛酸锂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7"/>
                <w:kern w:val="0"/>
                <w:sz w:val="21"/>
                <w:szCs w:val="21"/>
              </w:rPr>
              <w:t>中国重型汽车集团有限公司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ZZ6126GCHEVN6Q1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61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17.44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6870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11800/12200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XML6125JHEVD6CN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98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14.2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12400/13100/13500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534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59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中通客车控股股份有限公司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LCK6127CHEV6NGA1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18.6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7470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11550/12100/12600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483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SLK6109UNHEVL3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90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14.13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11800/12500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SLK6129UNHEVL3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插电式混合动力低入口城市客车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80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14.21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12600/13000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366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HQK6109UNHEVL2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56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19.4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12000/12600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258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HQK6109UNHEVZ1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52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19.3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12000/12600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360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27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无锡中车新能源汽车有限公司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TEG6106URHEV80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65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14.8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6600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11800/11400/11000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424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1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22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湖南中车时代电动汽车股份有限公司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TEG6106EHEVN12</w:t>
            </w:r>
          </w:p>
        </w:tc>
        <w:tc>
          <w:tcPr>
            <w:tcW w:w="21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插电式混合动力城市客车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72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19.06</w:t>
            </w:r>
          </w:p>
        </w:tc>
        <w:tc>
          <w:tcPr>
            <w:tcW w:w="1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6871</w:t>
            </w:r>
          </w:p>
        </w:tc>
        <w:tc>
          <w:tcPr>
            <w:tcW w:w="18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12750/12350/11950</w:t>
            </w:r>
          </w:p>
        </w:tc>
        <w:tc>
          <w:tcPr>
            <w:tcW w:w="1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483</w:t>
            </w:r>
          </w:p>
        </w:tc>
        <w:tc>
          <w:tcPr>
            <w:tcW w:w="12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53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 xml:space="preserve">NG </w:t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  <w:t>注：插电式混合动力汽车燃料消耗量仅包括传统燃料</w:t>
      </w:r>
      <w:r>
        <w:rPr>
          <w:rFonts w:hint="eastAsia"/>
          <w:bCs/>
          <w:sz w:val="24"/>
        </w:rPr>
        <w:t>/</w:t>
      </w:r>
      <w:r>
        <w:rPr>
          <w:rFonts w:hint="eastAsia"/>
          <w:bCs/>
          <w:sz w:val="24"/>
        </w:rPr>
        <w:t>不含电能折算。</w:t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ind w:firstLineChars="200" w:startChars="0" w:start="0" w:endChars="0" w:end="0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snapToGrid w:val="false"/>
        <w:rPr>
          <w:rFonts w:hint="eastAsia"/>
          <w:bCs/>
          <w:sz w:val="24"/>
        </w:rPr>
      </w:pPr>
      <w:r>
        <w:rPr>
          <w:rFonts w:hint="eastAsia"/>
          <w:bCs/>
          <w:sz w:val="24"/>
        </w:rPr>
      </w:r>
    </w:p>
    <w:p>
      <w:pPr>
        <w:pStyle w:val="Normal"/>
        <w:widowControl/>
        <w:numPr>
          <w:ilvl w:val="0"/>
          <w:numId w:val="8"/>
        </w:numPr>
        <w:snapToGrid w:val="false"/>
        <w:ind w:firstLineChars="200" w:startChars="0" w:start="0" w:endChars="0" w:end="0"/>
        <w:jc w:val="start"/>
        <w:rPr>
          <w:rFonts w:cs="Times New Roman" w:hint="eastAsia"/>
          <w:b/>
          <w:szCs w:val="22"/>
        </w:rPr>
      </w:pPr>
      <w:r>
        <w:rPr>
          <w:rFonts w:cs="Times New Roman" w:hint="eastAsia"/>
          <w:b/>
          <w:szCs w:val="22"/>
        </w:rPr>
        <w:t>燃料电池汽车</w:t>
      </w:r>
    </w:p>
    <w:p>
      <w:pPr>
        <w:pStyle w:val="Normal"/>
        <w:widowControl/>
        <w:numPr>
          <w:ilvl w:val="0"/>
          <w:numId w:val="16"/>
        </w:numPr>
        <w:snapToGrid w:val="false"/>
        <w:spacing w:lineRule="auto" w:line="192"/>
        <w:rPr/>
      </w:pPr>
      <w:r>
        <w:rPr>
          <w:rFonts w:cs="Times New Roman" w:hint="eastAsia"/>
          <w:b/>
          <w:sz w:val="28"/>
          <w:szCs w:val="22"/>
        </w:rPr>
        <w:t>客车</w:t>
      </w:r>
    </w:p>
    <w:tbl>
      <w:tblPr>
        <w:tblW w:w="15286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51"/>
        <w:gridCol w:w="2040"/>
        <w:gridCol w:w="1695"/>
        <w:gridCol w:w="2085"/>
        <w:gridCol w:w="3585"/>
        <w:gridCol w:w="1755"/>
        <w:gridCol w:w="1350"/>
        <w:gridCol w:w="1170"/>
        <w:gridCol w:w="855"/>
      </w:tblGrid>
      <w:tr>
        <w:trPr>
          <w:tblHeader w:val="true"/>
          <w:trHeight w:val="540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EQ6100CACFCEV1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160(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),350(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仅氢系统工作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10800/11300/11800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安徽安凯汽车股份有限公司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HFF6100G03FCEV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130(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)/580(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11700/12400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51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HFF6121G03FCEV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70(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)/600(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50.2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HFF6852G03FCEV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)/405(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8600/9100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厦门金龙旅行车有限公司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6"/>
                <w:kern w:val="0"/>
                <w:sz w:val="21"/>
                <w:szCs w:val="21"/>
              </w:rPr>
              <w:t>XML6125JFCEVJ0CA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115km(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)/700km(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12500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67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南京金龙客车制造有限公司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NJL6100FCEV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180km(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)/420km(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NJL6113FCEV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168(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)/454(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11180/11480/11780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成都客车股份有限公司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CDK6110CFCEV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7"/>
                <w:kern w:val="0"/>
                <w:sz w:val="21"/>
                <w:szCs w:val="21"/>
              </w:rPr>
              <w:t>燃料电池低入口城市客车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11200/10600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47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kern w:val="0"/>
                <w:sz w:val="21"/>
                <w:szCs w:val="21"/>
              </w:rPr>
              <w:t>广西申龙汽车制造有限公司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HQK6109UFCEVX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135(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12100/12600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HQK6859UFCEVT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9400/9900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85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HQK6859UFCEVX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)/550(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9400/9900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48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85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  <w:tr>
        <w:trPr>
          <w:trHeight w:val="255" w:hRule="atLeast"/>
        </w:trPr>
        <w:tc>
          <w:tcPr>
            <w:tcW w:w="7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0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云南五龙汽车有限公司</w:t>
            </w:r>
          </w:p>
        </w:tc>
        <w:tc>
          <w:tcPr>
            <w:tcW w:w="16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FDE6850PBFCEV04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燃料电池城市客车</w:t>
            </w:r>
          </w:p>
        </w:tc>
        <w:tc>
          <w:tcPr>
            <w:tcW w:w="3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180(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)/700(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8600/8900/9000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90</w:t>
            </w:r>
          </w:p>
        </w:tc>
        <w:tc>
          <w:tcPr>
            <w:tcW w:w="8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Normal"/>
        <w:widowControl/>
        <w:numPr>
          <w:ilvl w:val="0"/>
          <w:numId w:val="0"/>
        </w:numPr>
        <w:snapToGrid w:val="false"/>
        <w:spacing w:lineRule="auto" w:line="192"/>
        <w:ind w:firstLineChars="0" w:firstLine="0" w:startChars="0" w:start="0" w:endChars="0" w:end="0"/>
        <w:rPr/>
      </w:pPr>
      <w:r>
        <w:rPr/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snapToGrid w:val="false"/>
        <w:jc w:val="start"/>
        <w:rPr>
          <w:rFonts w:hint="eastAsia"/>
        </w:rPr>
      </w:pPr>
      <w:r>
        <w:rPr>
          <w:rFonts w:hint="eastAsia"/>
        </w:rPr>
      </w:r>
      <w:r>
        <w:br w:type="page"/>
      </w:r>
    </w:p>
    <w:p>
      <w:pPr>
        <w:pStyle w:val="ListParagraph"/>
        <w:widowControl/>
        <w:numPr>
          <w:ilvl w:val="0"/>
          <w:numId w:val="16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专用车</w:t>
      </w:r>
    </w:p>
    <w:tbl>
      <w:tblPr>
        <w:tblW w:w="1530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6"/>
        <w:gridCol w:w="2520"/>
        <w:gridCol w:w="1980"/>
        <w:gridCol w:w="1755"/>
        <w:gridCol w:w="3150"/>
        <w:gridCol w:w="1755"/>
        <w:gridCol w:w="1335"/>
        <w:gridCol w:w="1170"/>
        <w:gridCol w:w="870"/>
      </w:tblGrid>
      <w:tr>
        <w:trPr>
          <w:trHeight w:val="540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东风汽车集团有限公司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EQ5080XXYACFCEV1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5000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上汽大通汽车有限公司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SH5087XXYZHFCEVMZ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450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4000/4395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潍柴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(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扬州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)</w:t>
            </w: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亚星新能源商用车有限公司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YBL5040XXYFCEV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)105(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3180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CGC5095XXYFCEV6Z1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纯电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100/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氢燃料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360)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5000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40.5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上海申龙客车有限公司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SLK5090XBWEFCEVC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燃料电池保温车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55(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)/340(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5550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3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r>
          </w:p>
        </w:tc>
        <w:tc>
          <w:tcPr>
            <w:tcW w:w="25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南通皋开汽车制造有限公司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DYC5085XXY-FCEV2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燃料电池厢式运输车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140(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氢系统不工作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),350(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氢系统工作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)</w:t>
            </w:r>
          </w:p>
        </w:tc>
        <w:tc>
          <w:tcPr>
            <w:tcW w:w="17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4660</w:t>
            </w:r>
          </w:p>
        </w:tc>
        <w:tc>
          <w:tcPr>
            <w:tcW w:w="13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60.5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60</w:t>
            </w:r>
          </w:p>
        </w:tc>
        <w:tc>
          <w:tcPr>
            <w:tcW w:w="8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</w:r>
          </w:p>
        </w:tc>
      </w:tr>
    </w:tbl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hangingChars="0" w:hanging="0" w:start="0"/>
        <w:jc w:val="both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hangingChars="0" w:hanging="0" w:start="0"/>
        <w:jc w:val="both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16"/>
        </w:numPr>
        <w:snapToGrid w:val="false"/>
        <w:spacing w:lineRule="auto" w:line="192"/>
        <w:ind w:firstLineChars="0" w:firstLine="0" w:start="1308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  <w:t>货车</w:t>
      </w:r>
    </w:p>
    <w:tbl>
      <w:tblPr>
        <w:tblW w:w="15301" w:type="dxa"/>
        <w:jc w:val="start"/>
        <w:tblInd w:w="0" w:type="dxa"/>
        <w:tblLayout w:type="fixed"/>
        <w:tblCellMar>
          <w:top w:w="15" w:type="dxa"/>
          <w:start w:w="15" w:type="dxa"/>
          <w:bottom w:w="0" w:type="dxa"/>
          <w:end w:w="15" w:type="dxa"/>
        </w:tblCellMar>
      </w:tblPr>
      <w:tblGrid>
        <w:gridCol w:w="766"/>
        <w:gridCol w:w="2505"/>
        <w:gridCol w:w="1980"/>
        <w:gridCol w:w="1800"/>
        <w:gridCol w:w="3135"/>
        <w:gridCol w:w="1740"/>
        <w:gridCol w:w="1350"/>
        <w:gridCol w:w="1140"/>
        <w:gridCol w:w="885"/>
      </w:tblGrid>
      <w:tr>
        <w:trPr>
          <w:trHeight w:val="660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序号</w:t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生产企业名称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车辆型号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产品名称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续驶里程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(km)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整车整备质量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(kg)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燃料电池系统额定功率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驱动电机额定功率</w:t>
            </w:r>
            <w:r>
              <w:rPr>
                <w:rFonts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(kW)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Next w:val="false"/>
              <w:keepLines w:val="false"/>
              <w:widowControl/>
              <w:suppressLineNumbers w:val="0"/>
              <w:kinsoku w:val="true"/>
              <w:overflowPunct w:val="true"/>
              <w:autoSpaceDE w:val="true"/>
              <w:bidi w:val="0"/>
              <w:snapToGrid w:val="false"/>
              <w:jc w:val="center"/>
              <w:textAlignment w:val="center"/>
              <w:rPr>
                <w:rFonts w:ascii="仿宋_GB2312" w:hAnsi="仿宋_GB2312" w:eastAsia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pPr>
            <w:r>
              <w:rPr>
                <w:rFonts w:ascii="仿宋_GB2312" w:hAnsi="仿宋_GB2312" w:cs="仿宋_GB2312" w:hint="eastAsia"/>
                <w:b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  <w:t>备注</w:t>
            </w:r>
          </w:p>
        </w:tc>
      </w:tr>
      <w:tr>
        <w:trPr>
          <w:trHeight w:val="255" w:hRule="atLeast"/>
        </w:trPr>
        <w:tc>
          <w:tcPr>
            <w:tcW w:w="7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clear" w:pos="709"/>
                <w:tab w:val="left" w:pos="420" w:leader="none"/>
              </w:tabs>
              <w:snapToGrid w:val="false"/>
              <w:ind w:firstLineChars="0" w:firstLine="0" w:startChars="0" w:start="0" w:endChars="0" w:end="0"/>
              <w:jc w:val="center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eastAsia="仿宋_GB2312" w:cs="Calibri" w:hint="eastAsia"/>
                <w:b w:val="false"/>
                <w:bCs w:val="false"/>
                <w:i w:val="false"/>
                <w:color w:val="000000"/>
                <w:kern w:val="0"/>
                <w:sz w:val="21"/>
                <w:szCs w:val="21"/>
                <w:u w:val="none"/>
                <w:lang w:bidi="ar"/>
              </w:rPr>
            </w:r>
          </w:p>
        </w:tc>
        <w:tc>
          <w:tcPr>
            <w:tcW w:w="2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6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6"/>
                <w:kern w:val="0"/>
                <w:sz w:val="21"/>
                <w:szCs w:val="21"/>
              </w:rPr>
              <w:t>成都大运汽车集团有限公司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kern w:val="0"/>
                <w:sz w:val="21"/>
                <w:szCs w:val="21"/>
              </w:rPr>
              <w:t>CGC4250FCEV1Z1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b w:val="false"/>
                <w:bCs w:val="false"/>
                <w:spacing w:val="-11"/>
                <w:kern w:val="0"/>
                <w:sz w:val="21"/>
                <w:szCs w:val="21"/>
              </w:rPr>
              <w:t>燃料电池牵引汽车</w:t>
            </w:r>
          </w:p>
        </w:tc>
        <w:tc>
          <w:tcPr>
            <w:tcW w:w="31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400(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纯电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160/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氢燃料</w:t>
            </w: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240)</w:t>
            </w:r>
          </w:p>
        </w:tc>
        <w:tc>
          <w:tcPr>
            <w:tcW w:w="17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13400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87</w:t>
            </w:r>
          </w:p>
        </w:tc>
        <w:tc>
          <w:tcPr>
            <w:tcW w:w="1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>250</w:t>
            </w:r>
          </w:p>
        </w:tc>
        <w:tc>
          <w:tcPr>
            <w:tcW w:w="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napToGrid w:val="false"/>
              <w:jc w:val="both"/>
              <w:rPr>
                <w:rFonts w:cs="Calibri" w:hint="eastAsia"/>
                <w:spacing w:val="-11"/>
                <w:kern w:val="0"/>
                <w:sz w:val="21"/>
                <w:szCs w:val="21"/>
              </w:rPr>
            </w:pPr>
            <w:r>
              <w:rPr>
                <w:rFonts w:cs="Calibri" w:hint="eastAsia"/>
                <w:spacing w:val="-11"/>
                <w:kern w:val="0"/>
                <w:sz w:val="21"/>
                <w:szCs w:val="21"/>
              </w:rPr>
              <w:t xml:space="preserve"> </w:t>
            </w:r>
          </w:p>
        </w:tc>
      </w:tr>
    </w:tbl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firstLineChars="0" w:firstLine="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firstLineChars="0" w:firstLine="0" w:startChars="0" w:start="0" w:endChars="0" w:end="0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ListParagraph"/>
        <w:widowControl/>
        <w:numPr>
          <w:ilvl w:val="0"/>
          <w:numId w:val="0"/>
        </w:numPr>
        <w:snapToGrid w:val="false"/>
        <w:spacing w:lineRule="auto" w:line="192"/>
        <w:ind w:hangingChars="0" w:hanging="0" w:start="0"/>
        <w:jc w:val="both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p>
      <w:pPr>
        <w:pStyle w:val="Normal"/>
        <w:widowControl/>
        <w:snapToGrid w:val="false"/>
        <w:spacing w:lineRule="auto" w:line="192"/>
        <w:rPr>
          <w:rFonts w:cs="Times New Roman" w:hint="eastAsia"/>
          <w:b/>
          <w:sz w:val="28"/>
          <w:szCs w:val="22"/>
        </w:rPr>
      </w:pPr>
      <w:r>
        <w:rPr>
          <w:rFonts w:cs="Times New Roman" w:hint="eastAsia"/>
          <w:b/>
          <w:sz w:val="28"/>
          <w:szCs w:val="22"/>
        </w:rPr>
      </w:r>
    </w:p>
    <w:sectPr>
      <w:footerReference w:type="default" r:id="rId2"/>
      <w:type w:val="nextPage"/>
      <w:pgSz w:orient="landscape" w:w="16838" w:h="11906"/>
      <w:pgMar w:left="873" w:right="873" w:gutter="0" w:header="0" w:top="567" w:footer="992" w:bottom="1048"/>
      <w:pgNumType w:start="1" w:fmt="decimal"/>
      <w:formProt w:val="false"/>
      <w:textDirection w:val="lrTb"/>
      <w:docGrid w:type="lines" w:linePitch="435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仿宋_GB2312">
    <w:charset w:val="86"/>
    <w:family w:val="auto"/>
    <w:pitch w:val="default"/>
  </w:font>
  <w:font w:name="Arial">
    <w:charset w:val="00"/>
    <w:family w:val="swiss"/>
    <w:pitch w:val="default"/>
  </w:font>
  <w:font w:name="宋体">
    <w:charset w:val="86"/>
    <w:family w:val="auto"/>
    <w:pitch w:val="default"/>
  </w:font>
  <w:font w:name="Liberation Sans">
    <w:altName w:val="Arial"/>
    <w:charset w:val="01"/>
    <w:family w:val="swiss"/>
    <w:pitch w:val="variable"/>
  </w:font>
  <w:font w:name="等线">
    <w:charset w:val="86"/>
    <w:family w:val="auto"/>
    <w:pitch w:val="default"/>
  </w:font>
  <w:font w:name="Calibri">
    <w:charset w:val="00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firstLine="640" w:end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21</w:t>
    </w:r>
    <w:r>
      <w:rPr/>
      <w:fldChar w:fldCharType="end"/>
    </w:r>
  </w:p>
  <w:p>
    <w:pPr>
      <w:pStyle w:val="Footer"/>
      <w:tabs>
        <w:tab w:val="center" w:pos="7546" w:leader="none"/>
      </w:tabs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4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5">
    <w:lvl w:ilvl="0">
      <w:start w:val="2"/>
      <w:numFmt w:val="chineseCountingThousand"/>
      <w:suff w:val="nothing"/>
      <w:lvlText w:val="%1、"/>
      <w:lvlJc w:val="start"/>
      <w:pPr>
        <w:tabs>
          <w:tab w:val="num" w:pos="0"/>
        </w:tabs>
        <w:ind w:start="481" w:hanging="0"/>
      </w:pPr>
      <w:rPr>
        <w:rFonts w:hint="eastAsia"/>
      </w:rPr>
    </w:lvl>
  </w:abstractNum>
  <w:abstractNum w:abstractNumId="6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3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2">
    <w:lvl w:ilvl="0">
      <w:start w:val="1"/>
      <w:numFmt w:val="chineseCountingThousand"/>
      <w:suff w:val="nothing"/>
      <w:lvlText w:val="（%1）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4">
    <w:lvl w:ilvl="0">
      <w:start w:val="1"/>
      <w:numFmt w:val="chineseCountingThousand"/>
      <w:suff w:val="nothing"/>
      <w:lvlText w:val="%1、"/>
      <w:lvlJc w:val="start"/>
      <w:pPr>
        <w:tabs>
          <w:tab w:val="num" w:pos="0"/>
        </w:tabs>
        <w:ind w:start="0" w:hanging="0"/>
      </w:pPr>
      <w:rPr>
        <w:rFonts w:hint="eastAsia"/>
      </w:rPr>
    </w:lvl>
  </w:abstractNum>
  <w:abstractNum w:abstractNumId="1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6">
    <w:lvl w:ilvl="0">
      <w:start w:val="1"/>
      <w:numFmt w:val="chineseCountingThousand"/>
      <w:lvlText w:val="（%1）"/>
      <w:lvlJc w:val="start"/>
      <w:pPr>
        <w:tabs>
          <w:tab w:val="num" w:pos="709"/>
        </w:tabs>
        <w:ind w:start="1308" w:hanging="885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1263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683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2103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523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943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3363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783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4203" w:hanging="420"/>
      </w:p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doNotExpandShiftReturn/>
    <w:adjustLineHeightInTable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仿宋_GB2312" w:hAnsi="仿宋_GB2312" w:eastAsia="仿宋_GB2312" w:cs="华文中宋"/>
      <w:color w:val="auto"/>
      <w:kern w:val="2"/>
      <w:sz w:val="32"/>
      <w:szCs w:val="20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>
      <w:rFonts w:hint="eastAsia"/>
    </w:rPr>
  </w:style>
  <w:style w:type="character" w:styleId="WW8Num5z0">
    <w:name w:val="WW8Num5z0"/>
    <w:qFormat/>
    <w:rPr>
      <w:rFonts w:hint="eastAsia"/>
    </w:rPr>
  </w:style>
  <w:style w:type="character" w:styleId="WW8Num6z0">
    <w:name w:val="WW8Num6z0"/>
    <w:qFormat/>
    <w:rPr>
      <w:rFonts w:hint="eastAsia"/>
    </w:rPr>
  </w:style>
  <w:style w:type="character" w:styleId="WW8Num7z0">
    <w:name w:val="WW8Num7z0"/>
    <w:qFormat/>
    <w:rPr/>
  </w:style>
  <w:style w:type="character" w:styleId="WW8Num8z0">
    <w:name w:val="WW8Num8z0"/>
    <w:qFormat/>
    <w:rPr>
      <w:rFonts w:hint="eastAsia"/>
    </w:rPr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>
      <w:rFonts w:hint="eastAsia"/>
    </w:rPr>
  </w:style>
  <w:style w:type="character" w:styleId="WW8Num13z0">
    <w:name w:val="WW8Num13z0"/>
    <w:qFormat/>
    <w:rPr/>
  </w:style>
  <w:style w:type="character" w:styleId="WW8Num14z0">
    <w:name w:val="WW8Num14z0"/>
    <w:qFormat/>
    <w:rPr>
      <w:rFonts w:hint="eastAsia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Style14">
    <w:name w:val="默认段落字体"/>
    <w:qFormat/>
    <w:rPr/>
  </w:style>
  <w:style w:type="character" w:styleId="font41">
    <w:name w:val="font41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Char">
    <w:name w:val="页眉 Char"/>
    <w:qFormat/>
    <w:rPr>
      <w:rFonts w:ascii="仿宋_GB2312" w:hAnsi="仿宋_GB2312" w:eastAsia="仿宋_GB2312" w:cs="华文中宋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styleId="font01">
    <w:name w:val="font01"/>
    <w:qFormat/>
    <w:rPr>
      <w:rFonts w:ascii="宋体" w:hAnsi="宋体" w:eastAsia="宋体" w:cs="宋体" w:hint="eastAsia"/>
      <w:i w:val="false"/>
      <w:color w:val="000000"/>
      <w:sz w:val="20"/>
      <w:szCs w:val="20"/>
      <w:u w:val="none"/>
    </w:rPr>
  </w:style>
  <w:style w:type="character" w:styleId="FollowedHyperlink">
    <w:name w:val="FollowedHyperlink"/>
    <w:rPr>
      <w:color w:val="800080"/>
      <w:u w:val="single"/>
    </w:rPr>
  </w:style>
  <w:style w:type="character" w:styleId="Char1">
    <w:name w:val="页脚 Char"/>
    <w:qFormat/>
    <w:rPr>
      <w:rFonts w:ascii="仿宋_GB2312" w:hAnsi="仿宋_GB2312" w:eastAsia="仿宋_GB2312" w:cs="华文中宋"/>
      <w:sz w:val="18"/>
      <w:szCs w:val="18"/>
    </w:rPr>
  </w:style>
  <w:style w:type="character" w:styleId="font11">
    <w:name w:val="font1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font31">
    <w:name w:val="font31"/>
    <w:basedOn w:val="Style14"/>
    <w:qFormat/>
    <w:rPr>
      <w:rFonts w:ascii="Arial" w:hAnsi="Arial" w:cs="Arial"/>
      <w:i w:val="false"/>
      <w:color w:val="000000"/>
      <w:sz w:val="20"/>
      <w:szCs w:val="20"/>
      <w:u w:val="none"/>
    </w:rPr>
  </w:style>
  <w:style w:type="character" w:styleId="font21">
    <w:name w:val="font21"/>
    <w:qFormat/>
    <w:rPr>
      <w:rFonts w:ascii="仿宋_GB2312" w:hAnsi="仿宋_GB2312" w:eastAsia="仿宋_GB2312" w:hint="eastAsia"/>
      <w:b/>
      <w:bCs/>
      <w:i w:val="false"/>
      <w:iCs w:val="false"/>
      <w:strike w:val="false"/>
      <w:dstrike w:val="false"/>
      <w:color w:val="000000"/>
      <w:sz w:val="21"/>
      <w:szCs w:val="21"/>
      <w:u w:val="none"/>
    </w:rPr>
  </w:style>
  <w:style w:type="character" w:styleId="GB2312">
    <w:name w:val="仿宋_GB2312 字符"/>
    <w:qFormat/>
    <w:rPr>
      <w:rFonts w:ascii="仿宋_GB2312" w:hAnsi="仿宋_GB2312" w:eastAsia="仿宋_GB2312" w:cs="宋体"/>
      <w:bCs/>
      <w:color w:val="000000"/>
      <w:sz w:val="21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xl70">
    <w:name w:val="xl70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GB23121">
    <w:name w:val="仿宋_GB2312"/>
    <w:basedOn w:val="Normal"/>
    <w:qFormat/>
    <w:pPr>
      <w:widowControl/>
      <w:jc w:val="center"/>
    </w:pPr>
    <w:rPr>
      <w:rFonts w:cs="宋体"/>
      <w:bCs/>
      <w:color w:val="000000"/>
      <w:kern w:val="0"/>
      <w:sz w:val="21"/>
      <w:szCs w:val="22"/>
    </w:rPr>
  </w:style>
  <w:style w:type="paragraph" w:styleId="font5">
    <w:name w:val="font5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b/>
      <w:bCs/>
      <w:kern w:val="0"/>
      <w:sz w:val="22"/>
      <w:szCs w:val="22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1">
    <w:name w:val="列表段落1"/>
    <w:basedOn w:val="Normal"/>
    <w:qFormat/>
    <w:pPr>
      <w:ind w:firstLineChars="200" w:startChars="0" w:start="0" w:endChars="0" w:end="0"/>
    </w:pPr>
    <w:rPr/>
  </w:style>
  <w:style w:type="paragraph" w:styleId="xl68">
    <w:name w:val="xl68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7">
    <w:name w:val="xl77"/>
    <w:basedOn w:val="Normal"/>
    <w:qFormat/>
    <w:pPr>
      <w:widowControl/>
      <w:pBdr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709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nt9">
    <w:name w:val="font9"/>
    <w:basedOn w:val="Normal"/>
    <w:qFormat/>
    <w:pPr>
      <w:widowControl/>
      <w:spacing w:before="280" w:after="280"/>
      <w:jc w:val="start"/>
    </w:pPr>
    <w:rPr>
      <w:rFonts w:cs="宋体"/>
      <w:b/>
      <w:bCs/>
      <w:color w:val="000000"/>
      <w:kern w:val="0"/>
      <w:sz w:val="22"/>
      <w:szCs w:val="22"/>
    </w:rPr>
  </w:style>
  <w:style w:type="paragraph" w:styleId="xl67">
    <w:name w:val="xl67"/>
    <w:basedOn w:val="Normal"/>
    <w:qFormat/>
    <w:pPr>
      <w:widowControl/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3">
    <w:name w:val="xl73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ListParagraph">
    <w:name w:val="List Paragraph"/>
    <w:basedOn w:val="Normal"/>
    <w:qFormat/>
    <w:pPr>
      <w:ind w:firstLineChars="200" w:startChars="0" w:start="0" w:endChars="0" w:end="0"/>
    </w:pPr>
    <w:rPr/>
  </w:style>
  <w:style w:type="paragraph" w:styleId="font8">
    <w:name w:val="font8"/>
    <w:basedOn w:val="Normal"/>
    <w:qFormat/>
    <w:pPr>
      <w:widowControl/>
      <w:spacing w:before="280" w:after="280"/>
      <w:jc w:val="start"/>
    </w:pPr>
    <w:rPr>
      <w:rFonts w:ascii="等线" w:hAnsi="等线" w:eastAsia="等线" w:cs="宋体"/>
      <w:color w:val="000000"/>
      <w:kern w:val="0"/>
      <w:sz w:val="22"/>
      <w:szCs w:val="22"/>
    </w:rPr>
  </w:style>
  <w:style w:type="paragraph" w:styleId="xl69">
    <w:name w:val="xl69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b/>
      <w:bCs/>
      <w:kern w:val="0"/>
      <w:sz w:val="24"/>
      <w:szCs w:val="24"/>
    </w:rPr>
  </w:style>
  <w:style w:type="paragraph" w:styleId="xl74">
    <w:name w:val="xl74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center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6">
    <w:name w:val="font6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18"/>
      <w:szCs w:val="18"/>
    </w:rPr>
  </w:style>
  <w:style w:type="paragraph" w:styleId="xl66">
    <w:name w:val="xl66"/>
    <w:basedOn w:val="Normal"/>
    <w:qFormat/>
    <w:pPr>
      <w:widowControl/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2">
    <w:name w:val="xl72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6">
    <w:name w:val="xl76"/>
    <w:basedOn w:val="Normal"/>
    <w:qFormat/>
    <w:pPr>
      <w:widowControl/>
      <w:pBdr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font10">
    <w:name w:val="font10"/>
    <w:basedOn w:val="Normal"/>
    <w:qFormat/>
    <w:pPr>
      <w:widowControl/>
      <w:spacing w:before="280" w:after="280"/>
      <w:jc w:val="start"/>
    </w:pPr>
    <w:rPr>
      <w:rFonts w:ascii="等线" w:hAnsi="等线" w:eastAsia="等线" w:cs="宋体"/>
      <w:b/>
      <w:bCs/>
      <w:color w:val="000000"/>
      <w:kern w:val="0"/>
      <w:sz w:val="22"/>
      <w:szCs w:val="22"/>
    </w:rPr>
  </w:style>
  <w:style w:type="paragraph" w:styleId="msonormal">
    <w:name w:val="msonormal"/>
    <w:basedOn w:val="Normal"/>
    <w:qFormat/>
    <w:pPr>
      <w:widowControl/>
      <w:spacing w:before="280" w:after="280"/>
      <w:jc w:val="start"/>
    </w:pPr>
    <w:rPr>
      <w:rFonts w:ascii="宋体" w:hAnsi="宋体" w:eastAsia="宋体" w:cs="宋体"/>
      <w:kern w:val="0"/>
      <w:sz w:val="24"/>
      <w:szCs w:val="24"/>
    </w:rPr>
  </w:style>
  <w:style w:type="paragraph" w:styleId="font7">
    <w:name w:val="font7"/>
    <w:basedOn w:val="Normal"/>
    <w:qFormat/>
    <w:pPr>
      <w:widowControl/>
      <w:spacing w:before="280" w:after="280"/>
      <w:jc w:val="start"/>
    </w:pPr>
    <w:rPr>
      <w:rFonts w:ascii="Calibri" w:hAnsi="Calibri" w:eastAsia="宋体" w:cs="Calibri"/>
      <w:b/>
      <w:bCs/>
      <w:kern w:val="0"/>
      <w:sz w:val="22"/>
      <w:szCs w:val="22"/>
    </w:rPr>
  </w:style>
  <w:style w:type="paragraph" w:styleId="xl71">
    <w:name w:val="xl71"/>
    <w:basedOn w:val="Normal"/>
    <w:qFormat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75">
    <w:name w:val="xl75"/>
    <w:basedOn w:val="Normal"/>
    <w:qFormat/>
    <w:pPr>
      <w:widowControl/>
      <w:pBdr>
        <w:top w:val="single" w:sz="4" w:space="0" w:color="000000"/>
        <w:left w:val="single" w:sz="4" w:space="0" w:color="000000"/>
        <w:right w:val="single" w:sz="4" w:space="0" w:color="000000"/>
      </w:pBdr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xl65">
    <w:name w:val="xl65"/>
    <w:basedOn w:val="Normal"/>
    <w:qFormat/>
    <w:pPr>
      <w:widowControl/>
      <w:spacing w:before="280" w:after="280"/>
      <w:jc w:val="start"/>
      <w:textAlignment w:val="center"/>
    </w:pPr>
    <w:rPr>
      <w:rFonts w:ascii="宋体" w:hAnsi="宋体" w:eastAsia="宋体" w:cs="宋体"/>
      <w:kern w:val="0"/>
      <w:sz w:val="24"/>
      <w:szCs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2019-01-23T06:22:00Z</dcterms:created>
  <dc:creator>MYMY</dc:creator>
  <dc:description/>
  <dc:language>en-US</dc:language>
  <cp:lastModifiedBy>chencm</cp:lastModifiedBy>
  <dcterms:modified xsi:type="dcterms:W3CDTF">2019-12-10T03:03:28Z</dcterms:modified>
  <cp:revision>30</cp:revision>
  <dc:subject/>
  <dc:title>附件1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2052-11.3.0.8632</vt:lpwstr>
  </property>
</Properties>
</file>