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>
      <w:pPr>
        <w:pStyle w:val="Title"/>
        <w:spacing w:after="80"/>
        <w:jc w:val="left"/>
      </w:pPr>
      <w:r>
        <w:rPr>
          <w:rFonts w:ascii="Aptos" w:hAnsi="Aptos"/>
          <w:b/>
          <w:i w:val="0"/>
          <w:color w:val="000000"/>
          <w:sz w:val="44"/>
        </w:rPr>
        <w:t>Saúde da Mulher na África Subsaariana</w:t>
      </w:r>
    </w:p>
    <w:p>
      <w:pPr>
        <w:spacing w:after="320"/>
      </w:pPr>
      <w:r>
        <w:rPr>
          <w:rFonts w:ascii="Aptos" w:hAnsi="Aptos"/>
          <w:b w:val="0"/>
          <w:i w:val="0"/>
          <w:color w:val="555555"/>
          <w:sz w:val="20"/>
        </w:rPr>
        <w:t>Autores: Henrique Gusmão, Felipe Franco, Izabella Correia e Alice Silva — TZ1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Descrição do dataset</w:t>
      </w:r>
    </w:p>
    <w:p>
      <w:pPr>
        <w:spacing w:after="12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Este dataset filtrado integra informações sobre a saúde e as condições de vida de mulheres na África Subsaariana. Oriundo do programa DHS (Demographic and Health Surveys), o banco SQLite reúne 4.529.723 registros nas dez tabelas consolidadas, cobrindo 37 países. Entre os principais módulos estão 407.600 mulheres, 877.412 nascimentos, 385.457 domicílios, 1.884.683 moradores, 282.641 crianças e 236.070 parceiros. Esses dados permitem analisar a saúde pré-natal e pós-natal, a pobreza, as desigualdades territoriais e a violência de gênero.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Inovação social</w:t>
      </w:r>
    </w:p>
    <w:p>
      <w:pPr>
        <w:spacing w:after="12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O conjunto de dados permite investigar onde, como e para quem as desigualdades se acumulam, apoiando análises como: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Relações entre ruralidade, riqueza, escolaridade e distância dos serviços, para orientar recursos destinados à saúde obstétrica.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Pobreza multidimensional e saúde.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Planejamento familiar e autonomia feminina.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Desigualdades urbano-rurais.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Mapas de vulnerabilidade territorial.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Identificação de populações e regiões associadas a maior vulnerabilidade materno-infantil, auxiliando a priorização de políticas e recursos de saúde.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Identificação de associações entre contextos, políticas e indicadores melhores; afirmar causalidade exigiria uma análise causal específica.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Entidades e atributos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País: </w:t>
      </w:r>
      <w:r>
        <w:rPr>
          <w:rFonts w:ascii="Aptos" w:hAnsi="Aptos"/>
          <w:b w:val="0"/>
          <w:i w:val="0"/>
          <w:color w:val="000000"/>
          <w:sz w:val="21"/>
        </w:rPr>
        <w:t>pais_codigo, nome_pais.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Levantamento: </w:t>
      </w:r>
      <w:r>
        <w:rPr>
          <w:rFonts w:ascii="Aptos" w:hAnsi="Aptos"/>
          <w:b w:val="0"/>
          <w:i w:val="0"/>
          <w:color w:val="000000"/>
          <w:sz w:val="21"/>
        </w:rPr>
        <w:t>levantamento_id, pais_codigo, fase. A tabela contém fases usadas pelos módulos; a tabela Mulher/IR usa 37 levantamentos selecionados.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Pessoa: </w:t>
      </w:r>
      <w:r>
        <w:rPr>
          <w:rFonts w:ascii="Aptos" w:hAnsi="Aptos"/>
          <w:b w:val="0"/>
          <w:i w:val="0"/>
          <w:color w:val="000000"/>
          <w:sz w:val="21"/>
        </w:rPr>
        <w:t>Supertipo conceitual para indivíduos. O banco não materializa uma tabela única de Pessoa; Morador é a representação mais próxima da população de moradores.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Morador: </w:t>
      </w:r>
      <w:r>
        <w:rPr>
          <w:rFonts w:ascii="Aptos" w:hAnsi="Aptos"/>
          <w:b w:val="0"/>
          <w:i w:val="0"/>
          <w:color w:val="000000"/>
          <w:sz w:val="21"/>
        </w:rPr>
        <w:t>id_morador, id_domicilio, sexo, idade, escolaridade e relação com o domicílio.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Mulher: </w:t>
      </w:r>
      <w:r>
        <w:rPr>
          <w:rFonts w:ascii="Aptos" w:hAnsi="Aptos"/>
          <w:b w:val="0"/>
          <w:i w:val="0"/>
          <w:color w:val="000000"/>
          <w:sz w:val="21"/>
        </w:rPr>
        <w:t>id_mulher_global, idade, escolaridade, área, índice de riqueza, fecundidade, anemia e contracepção. É o registro da entrevista IR; conhecimento e uso de métodos são relacionamentos derivados.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Parceiro/Homem: </w:t>
      </w:r>
      <w:r>
        <w:rPr>
          <w:rFonts w:ascii="Aptos" w:hAnsi="Aptos"/>
          <w:b w:val="0"/>
          <w:i w:val="0"/>
          <w:color w:val="000000"/>
          <w:sz w:val="21"/>
        </w:rPr>
        <w:t>id_parceiro, idade, escolaridade, área, índice de riqueza e fecundidade do parceiro. É uma entidade real da tabela Parceiro, não apenas um papel.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Domicílio: </w:t>
      </w:r>
      <w:r>
        <w:rPr>
          <w:rFonts w:ascii="Aptos" w:hAnsi="Aptos"/>
          <w:b w:val="0"/>
          <w:i w:val="0"/>
          <w:color w:val="000000"/>
          <w:sz w:val="21"/>
        </w:rPr>
        <w:t>id_domicilio, região, rural_ou_urbano, número_de_homens, número_de_mulheres, número_de_membros, fonte_água, eletricidade, bens e índice_de_riqueza.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Entrevista: </w:t>
      </w:r>
      <w:r>
        <w:rPr>
          <w:rFonts w:ascii="Aptos" w:hAnsi="Aptos"/>
          <w:b w:val="0"/>
          <w:i w:val="0"/>
          <w:color w:val="000000"/>
          <w:sz w:val="21"/>
        </w:rPr>
        <w:t>Entidade conceitual representada por cada linha da tabela Mulher/IR; não existe uma tabela Entrevista separada no banco.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Nascimento: </w:t>
      </w:r>
      <w:r>
        <w:rPr>
          <w:rFonts w:ascii="Aptos" w:hAnsi="Aptos"/>
          <w:b w:val="0"/>
          <w:i w:val="0"/>
          <w:color w:val="000000"/>
          <w:sz w:val="21"/>
        </w:rPr>
        <w:t>id_nascimento, ordem_nascimento, sexo, sobrevivência, assistência, consultas_pré-natais, local_nascimento e cesárea. Os 877.412 registros são nascimentos; gestação não é uma entidade separada.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Criança/Filho: </w:t>
      </w:r>
      <w:r>
        <w:rPr>
          <w:rFonts w:ascii="Aptos" w:hAnsi="Aptos"/>
          <w:b w:val="0"/>
          <w:i w:val="0"/>
          <w:color w:val="000000"/>
          <w:sz w:val="21"/>
        </w:rPr>
        <w:t>id_crianca, sexo, sobrevivência, peso, aleitamento, doenças e vacinação. A chave completa usa país, levantamento e identificador do registro; não é tratada como entidade fraca.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Casal: </w:t>
      </w:r>
      <w:r>
        <w:rPr>
          <w:rFonts w:ascii="Aptos" w:hAnsi="Aptos"/>
          <w:b w:val="0"/>
          <w:i w:val="0"/>
          <w:color w:val="000000"/>
          <w:sz w:val="21"/>
        </w:rPr>
        <w:t>id_casal, id_mulher, id_domicilio e atributos do casal. Representa entrevistas pareadas e materializa parte das ligações com parceiros.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Método anticoncepcional: </w:t>
      </w:r>
      <w:r>
        <w:rPr>
          <w:rFonts w:ascii="Aptos" w:hAnsi="Aptos"/>
          <w:b w:val="0"/>
          <w:i w:val="0"/>
          <w:color w:val="000000"/>
          <w:sz w:val="21"/>
        </w:rPr>
        <w:t>Domínio derivado das variáveis v304, v305, v307 e v312. Há 20 posições de método em v304; 19 apresentam ocorrências no banco.</w:t>
      </w:r>
    </w:p>
    <w:p>
      <w:pPr>
        <w:spacing w:after="80" w:line="252" w:lineRule="auto"/>
      </w:pPr>
      <w:r>
        <w:rPr>
          <w:rFonts w:ascii="Aptos" w:hAnsi="Aptos"/>
          <w:b/>
          <w:i w:val="0"/>
          <w:color w:val="000000"/>
          <w:sz w:val="21"/>
        </w:rPr>
        <w:t xml:space="preserve">Vacina: </w:t>
      </w:r>
      <w:r>
        <w:rPr>
          <w:rFonts w:ascii="Aptos" w:hAnsi="Aptos"/>
          <w:b w:val="0"/>
          <w:i w:val="0"/>
          <w:color w:val="000000"/>
          <w:sz w:val="21"/>
        </w:rPr>
        <w:t>Domínio derivado dos oito indicadores de vacinação h2 a h9 da tabela Criança; não existe uma tabela Vacina independente.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Quantidade de instâncias</w:t>
      </w:r>
    </w:p>
    <w:p>
      <w:pPr>
        <w:spacing w:after="120" w:line="259" w:lineRule="auto"/>
      </w:pPr>
      <w:r>
        <w:rPr>
          <w:rFonts w:ascii="Aptos" w:hAnsi="Aptos"/>
          <w:b w:val="0"/>
          <w:i/>
          <w:color w:val="000000"/>
          <w:sz w:val="21"/>
        </w:rPr>
        <w:t>As contagens abaixo foram calculadas no banco SQLite. Quando uma entidade é conceitual ou derivada de variáveis, isso é indicado na observação. Os identificadores isolados podem se repetir entre países e levantamentos; a chave completa deve preservar país, levantamento e identificador original.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01"/>
        <w:gridCol w:w="3201"/>
        <w:gridCol w:w="3201"/>
      </w:tblGrid>
      <w:tr>
        <w:trPr>
          <w:tblHeader w:val="true"/>
        </w:trPr>
        <w:tc>
          <w:tcPr>
            <w:tcW w:type="dxa" w:w="208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Entidade</w:t>
            </w:r>
          </w:p>
        </w:tc>
        <w:tc>
          <w:tcPr>
            <w:tcW w:type="dxa" w:w="237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Número de instâncias disponível</w:t>
            </w:r>
          </w:p>
        </w:tc>
        <w:tc>
          <w:tcPr>
            <w:tcW w:type="dxa" w:w="489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País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Pais.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Levantamento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108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de dimensão completa; 37 levantamentos aparecem na tabela Mulher/IR.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Pessoa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Não materializada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O supertipo conceitual não tem uma tabela única; Morador tem 1.884.683 registros.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Morador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1.884.683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Morador/PR.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Mulher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407.600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Mulher/IR.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Parceiro/Homem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236.070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Parceiro/MR.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Domicílio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385.457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Domicilio/HR.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Entrevista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407.600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Representada pelas linhas de Mulher/IR; não há tabela separada.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Nascimento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877.412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Nascimento/BR; são nascimentos, não gestações distintas.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Criança/Filho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282.641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Crianca/KR.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Casal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109.174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Tabela Casal/CR.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Método anticoncepcional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20 posições; 19 observadas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Domínio derivado de v304; o código 0 de v312 significa nenhum método.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Vacina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8 indicadores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Domínio derivado de h2 a h9; não há tabela Vacina independente.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ptos" w:hAnsi="Aptos"/>
          <w:b w:val="0"/>
          <w:i/>
          <w:color w:val="000000"/>
          <w:sz w:val="21"/>
        </w:rPr>
        <w:t>A soma de 4.529.723 corresponde às linhas das dez tabelas consolidadas; ela não substitui as contagens de instâncias de cada entidade e não deve ser interpretada como quantidade de pessoas únicas.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Relacionamentos e cardinalidades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01"/>
        <w:gridCol w:w="3201"/>
        <w:gridCol w:w="3201"/>
      </w:tblGrid>
      <w:tr>
        <w:trPr>
          <w:tblHeader w:val="true"/>
        </w:trPr>
        <w:tc>
          <w:tcPr>
            <w:tcW w:type="dxa" w:w="45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Relacionamento</w:t>
            </w:r>
          </w:p>
        </w:tc>
        <w:tc>
          <w:tcPr>
            <w:tcW w:type="dxa" w:w="151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Cardinalidade</w:t>
            </w:r>
          </w:p>
        </w:tc>
        <w:tc>
          <w:tcPr>
            <w:tcW w:type="dxa" w:w="331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8"/>
              </w:rPr>
              <w:t>Número de ocorrências disponível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Levantamento — realizado em — País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N:1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108 vínculos na dimensão Levantamento; 37 no núcleo Mulher/IR.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Domicílio — pertence a — País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N:1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385.457 vínculos, um por linha de Domicilio.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Entrevista/Mulher — pertence a — Levantamento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N:1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407.600 vínculos, distribuídos em 37 levantamentos da tabela Mulher.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Mulher — reside em — Domicílio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N:1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401.740 vínculos com domicílios carregados; 5.860 mulheres estão em levantamentos sem HR correspondente.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Morador — reside em — Domicílio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N:1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1.884.683 vínculos na tabela Morador.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Domicílio — possui chefe — Morador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1:0..1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380.590 chefes identificados por hv003 e vinculados a Morador.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Mulher — possui — Nascimento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1:0..N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877.412 registros BR; 865.915 encontram correspondência na tabela Mulher/IR carregada.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Mulher — possui — Criança/Filho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1:0..N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282.641 registros KR; 279.492 encontram correspondência na tabela Mulher/IR carregada.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Mulher — relaciona-se com — Parceiro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N:M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109.174 registros pareados na tabela Casal; a tabela Parceiro isolada tem 236.070 homens/parceiros.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Mulher — conhece — Método anticoncepcional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N:M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2.409.894 fatos positivos nas variáveis v304_01 a v304_20.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Mulher — já usou — Método anticoncepcional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N:M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16.978 fatos positivos nas variáveis v305_01 a v305_20.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Mulher — usa atualmente — Método anticoncepcional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N:M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101.972 fatos positivos em v307_01 a v307_20; v312 registra 93.549 códigos atuais não nulos e diferentes de zero.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Criança — possui registro de vacinação — Vacina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N:M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1.174.167 células não nulas nos oito indicadores h2 a h9; isso é registro de vacinação, não necessariamente dose recebida.</w:t>
            </w:r>
          </w:p>
        </w:tc>
      </w:tr>
      <w:tr>
        <w:tc>
          <w:tcPr>
            <w:tcW w:type="dxa" w:w="4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Nascimento — resulta em — Criança/Filho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não materializado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00000"/>
                <w:sz w:val="18"/>
              </w:rPr>
              <w:t>Não calculável diretamente: BR e KR não compartilham um identificador de criança para ligação segura.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Decisões de modelagem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Pessoa permanece como supertipo conceitual, mas não recebe 407.600 instâncias automaticamente. A tabela Morador é a representação materializada mais próxima, com 1.884.683 registros; Mulher, Parceiro e Criança são módulos com chaves próprias.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Parceiro/Homem foi mantido como entidade porque existe a tabela Parceiro com 236.070 registros. A associação pareada com mulheres é representada por Casal, com 109.174 registros.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Criança/Filho não é tratado como entidade fraca. Como os identificadores podem se repetir entre levantamentos, a chave deve incluir país, levantamento e identificador do registro.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Nascimento foi separado de Gestação: os 877.412 registros do banco são nascimentos. A cardinalidade Mulher–Nascimento é 1:0..N; a relação Nascimento–Criança não é materializada com uma chave comum entre BR e KR.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As chaves estrangeiras foram retiradas da descrição conceitual; elas aparecem no mapeamento relacional. Como os IDs originais se repetem entre países e levantamentos, a chave completa deve preservar esse contexto.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Conhecer, já ter usado e usar atualmente são relacionamentos diferentes, derivados respectivamente de v304, v305 e v307; não devem ser condensados em um único atributo conhecimento_método.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Religião permanece como atributo categórico. Pode virar entidade de domínio em uma etapa posterior, caso seja necessário padronizar categorias entre países e levantamentos.</w:t>
      </w:r>
    </w:p>
    <w:p>
      <w:pPr>
        <w:pStyle w:val="Heading1"/>
        <w:keepNext/>
      </w:pPr>
      <w:r>
        <w:rPr>
          <w:rFonts w:ascii="Aptos" w:hAnsi="Aptos"/>
          <w:b/>
          <w:i w:val="0"/>
          <w:color w:val="000000"/>
          <w:sz w:val="32"/>
        </w:rPr>
        <w:t>Modelo conceitual corrigido</w:t>
      </w:r>
    </w:p>
    <w:p>
      <w:pPr>
        <w:spacing w:after="120" w:line="259" w:lineRule="auto"/>
      </w:pPr>
      <w:r>
        <w:rPr>
          <w:rFonts w:ascii="Aptos" w:hAnsi="Aptos"/>
          <w:b w:val="0"/>
          <w:i w:val="0"/>
          <w:color w:val="000000"/>
          <w:sz w:val="21"/>
        </w:rPr>
        <w:t>Pessoa é um supertipo conceitual; as tabelas materializadas são Morador, Mulher, Parceiro/Homem e Criança/Filho. Entrevista é representada pelas linhas de Mulher/IR.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Levantamento — realizado em — País (N:1).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Domicílio — pertence a — País (N:1).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Entrevista/Mulher — pertence a — Levantamento (N:1).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Mulher — reside em — Domicílio (N:1; participação opcional conforme cobertura HR).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Morador — reside em — Domicílio (N:1).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Domicílio — possui chefe — Morador (1:0..1).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Mulher — possui — Nascimento (1:0..N).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Mulher — possui — Criança/Filho (1:0..N).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Mulher — relaciona-se com — Parceiro/Homem por Casal (N:M).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Mulher — conhece — Método anticoncepcional (N:M).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Mulher — já usou — Método anticoncepcional (N:M).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Mulher — usa atualmente — Método anticoncepcional (N:M).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Criança — possui registro de vacinação — Vacina (N:M).</w:t>
      </w:r>
    </w:p>
    <w:p>
      <w:pPr>
        <w:spacing w:after="60" w:line="252" w:lineRule="auto"/>
        <w:ind w:left="317" w:hanging="230"/>
      </w:pPr>
      <w:r>
        <w:rPr>
          <w:rFonts w:ascii="Aptos" w:hAnsi="Aptos"/>
          <w:b w:val="0"/>
          <w:i w:val="0"/>
          <w:color w:val="000000"/>
          <w:sz w:val="21"/>
        </w:rPr>
        <w:t>•  Nascimento — resulta em — Criança/Filho: não materializado diretamente no banco.</w:t>
      </w:r>
    </w:p>
    <w:sectPr>
      <w:type w:val="continuous"/>
      <w:pgSz w:h="16838" w:w="11906" w:orient="portrait"/>
      <w:pgMar w:bottom="1008" w:top="1008" w:left="1152" w:right="1152" w:header="720" w:footer="720"/>
      <w:cols w:equalWidth="0"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59" w:lineRule="auto"/>
    </w:pPr>
    <w:rPr>
      <w:rFonts w:ascii="Aptos" w:hAnsi="Aptos"/>
      <w:b w:val="0"/>
      <w:color w:val="000000"/>
      <w:sz w:val="21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ptos" w:hAnsi="Aptos"/>
      <w:b/>
      <w:color w:val="000000"/>
      <w:sz w:val="32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ptos" w:hAnsi="Aptos"/>
      <w:b/>
      <w:bCs w:val="0"/>
      <w:color w:val="000000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Aptos" w:hAnsi="Aptos"/>
      <w:b/>
      <w:color w:val="000000"/>
      <w:sz w:val="44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ptos" w:cs="Arial" w:eastAsia="Arial" w:hAnsi="Aptos"/>
      <w:b/>
      <w:i w:val="0"/>
      <w:iCs w:val="0"/>
      <w:color w:val="000000"/>
      <w:sz w:val="28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