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5278BA" w:rsidRDefault="00955DB3" w:rsidP="001B4CDE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</w:p>
    <w:p w:rsidR="00507743" w:rsidRDefault="00A30E2F" w:rsidP="00820DB1">
      <w:pPr>
        <w:pStyle w:val="ApaStyleGeneral"/>
      </w:pPr>
      <w:r>
        <w:t xml:space="preserve">- </w:t>
      </w:r>
      <w:r w:rsidR="00507743">
        <w:t>motivação para a aula:</w:t>
      </w:r>
    </w:p>
    <w:p w:rsidR="00507743" w:rsidRDefault="00507743" w:rsidP="001816F1">
      <w:pPr>
        <w:pStyle w:val="ApaStyleGeneral"/>
        <w:numPr>
          <w:ilvl w:val="0"/>
          <w:numId w:val="22"/>
        </w:numPr>
      </w:pPr>
      <w:r>
        <w:t xml:space="preserve">Em alguns </w:t>
      </w:r>
      <w:r w:rsidRPr="00195ED6">
        <w:rPr>
          <w:b/>
          <w:color w:val="0070C0"/>
        </w:rPr>
        <w:t>experimentos intrassujeitos</w:t>
      </w:r>
      <w:r>
        <w:t>, os participantes são expostos a</w:t>
      </w:r>
      <w:r w:rsidR="002E3DE8">
        <w:t xml:space="preserve"> cada uma das</w:t>
      </w:r>
      <w:r>
        <w:t xml:space="preserve"> diferentes condições experimentais;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>Exemplo: Tarefa de Stroop;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Congruente: </w:t>
      </w:r>
      <w:r w:rsidRPr="00195ED6">
        <w:rPr>
          <w:b/>
          <w:color w:val="00B0F0"/>
        </w:rPr>
        <w:t>AZUL</w:t>
      </w:r>
      <w:r>
        <w:t xml:space="preserve">, </w:t>
      </w:r>
      <w:r w:rsidRPr="00195ED6">
        <w:rPr>
          <w:b/>
          <w:color w:val="FF0000"/>
        </w:rPr>
        <w:t>VERMELHO</w:t>
      </w:r>
      <w:r>
        <w:t xml:space="preserve">, </w:t>
      </w:r>
      <w:r w:rsidRPr="00195ED6">
        <w:rPr>
          <w:b/>
          <w:color w:val="00B050"/>
        </w:rPr>
        <w:t>VERDE;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Incongruente: </w:t>
      </w:r>
      <w:r w:rsidRPr="00195ED6">
        <w:rPr>
          <w:b/>
          <w:color w:val="FF0000"/>
        </w:rPr>
        <w:t>AZUL</w:t>
      </w:r>
      <w:r>
        <w:t xml:space="preserve">, </w:t>
      </w:r>
      <w:r w:rsidRPr="00195ED6">
        <w:rPr>
          <w:b/>
          <w:color w:val="00B050"/>
        </w:rPr>
        <w:t>VERMELHO</w:t>
      </w:r>
      <w:r>
        <w:t xml:space="preserve">, </w:t>
      </w:r>
      <w:r w:rsidRPr="00195ED6">
        <w:rPr>
          <w:b/>
          <w:color w:val="00B0F0"/>
        </w:rPr>
        <w:t>VERDE</w:t>
      </w:r>
      <w:r>
        <w:t>;</w:t>
      </w:r>
    </w:p>
    <w:p w:rsidR="00507743" w:rsidRDefault="00507743" w:rsidP="001816F1">
      <w:pPr>
        <w:pStyle w:val="ApaStyleGeneral"/>
        <w:numPr>
          <w:ilvl w:val="0"/>
          <w:numId w:val="22"/>
        </w:numPr>
      </w:pPr>
      <w:r>
        <w:t xml:space="preserve">Mas como designar os </w:t>
      </w:r>
      <w:r w:rsidRPr="00195ED6">
        <w:rPr>
          <w:b/>
          <w:color w:val="0070C0"/>
        </w:rPr>
        <w:t>itens</w:t>
      </w:r>
      <w:r>
        <w:t xml:space="preserve"> às diferentes condições?;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Exemplo usando </w:t>
      </w:r>
      <w:r w:rsidRPr="00195ED6">
        <w:rPr>
          <w:b/>
          <w:color w:val="0070C0"/>
        </w:rPr>
        <w:t>contrabalanceamento</w:t>
      </w:r>
      <w:r>
        <w:t>: contrabalanceamento de conjuntos de pares de palavras (</w:t>
      </w:r>
      <w:r w:rsidRPr="00195ED6">
        <w:rPr>
          <w:b/>
          <w:color w:val="F79646" w:themeColor="accent6"/>
        </w:rPr>
        <w:t>X</w:t>
      </w:r>
      <w:r>
        <w:t xml:space="preserve">, </w:t>
      </w:r>
      <w:r w:rsidRPr="00195ED6">
        <w:rPr>
          <w:b/>
          <w:color w:val="8064A2" w:themeColor="accent4"/>
        </w:rPr>
        <w:t>Y</w:t>
      </w:r>
      <w:r>
        <w:t>) às diferentes condições (</w:t>
      </w:r>
      <w:r w:rsidRPr="00195ED6">
        <w:rPr>
          <w:b/>
          <w:color w:val="FF0000"/>
        </w:rPr>
        <w:t>condição A</w:t>
      </w:r>
      <w:r>
        <w:t xml:space="preserve">, </w:t>
      </w:r>
      <w:r w:rsidRPr="00195ED6">
        <w:rPr>
          <w:b/>
          <w:color w:val="00B050"/>
        </w:rPr>
        <w:t>condição B</w:t>
      </w:r>
      <w:r>
        <w:t>);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Participante 1: </w:t>
      </w:r>
      <w:r w:rsidRPr="00195ED6">
        <w:rPr>
          <w:b/>
          <w:color w:val="FF0000"/>
        </w:rPr>
        <w:t>mbwa–cachorro</w:t>
      </w:r>
      <w:r>
        <w:t xml:space="preserve">, </w:t>
      </w:r>
      <w:r w:rsidRPr="00195ED6">
        <w:rPr>
          <w:b/>
          <w:color w:val="FF0000"/>
        </w:rPr>
        <w:t>wingu–nuvem</w:t>
      </w:r>
      <w:r>
        <w:t xml:space="preserve">, </w:t>
      </w:r>
      <w:r w:rsidRPr="00195ED6">
        <w:rPr>
          <w:b/>
          <w:color w:val="00B050"/>
        </w:rPr>
        <w:t>lulu–pérola</w:t>
      </w:r>
      <w:r>
        <w:t xml:space="preserve">, </w:t>
      </w:r>
      <w:r w:rsidRPr="00195ED6">
        <w:rPr>
          <w:b/>
          <w:color w:val="00B050"/>
        </w:rPr>
        <w:t>rafiki–amigo</w:t>
      </w:r>
      <w:r w:rsidRPr="00195ED6">
        <w:t>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Participante 2: </w:t>
      </w:r>
      <w:r w:rsidRPr="00195ED6">
        <w:rPr>
          <w:b/>
          <w:color w:val="FF0000"/>
        </w:rPr>
        <w:t>mbwa–cachorro</w:t>
      </w:r>
      <w:r>
        <w:t xml:space="preserve">, </w:t>
      </w:r>
      <w:r w:rsidRPr="00195ED6">
        <w:rPr>
          <w:b/>
          <w:color w:val="FF0000"/>
        </w:rPr>
        <w:t>wingu–nuvem</w:t>
      </w:r>
      <w:r>
        <w:t xml:space="preserve">, </w:t>
      </w:r>
      <w:r w:rsidRPr="00195ED6">
        <w:rPr>
          <w:b/>
          <w:color w:val="00B050"/>
        </w:rPr>
        <w:t>lulu–pérola</w:t>
      </w:r>
      <w:r>
        <w:t xml:space="preserve">, </w:t>
      </w:r>
      <w:r w:rsidRPr="00195ED6">
        <w:rPr>
          <w:b/>
          <w:color w:val="00B050"/>
        </w:rPr>
        <w:t>rafiki–amigo</w:t>
      </w:r>
      <w:r w:rsidRPr="00195ED6">
        <w:t>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 […];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Participante </w:t>
      </w:r>
      <w:r>
        <w:rPr>
          <w:i/>
        </w:rPr>
        <w:t xml:space="preserve">n </w:t>
      </w:r>
      <w:r w:rsidRPr="00195ED6">
        <w:t>– 1</w:t>
      </w:r>
      <w:r>
        <w:t xml:space="preserve">: </w:t>
      </w:r>
      <w:r w:rsidRPr="00195ED6">
        <w:rPr>
          <w:b/>
          <w:color w:val="00B050"/>
        </w:rPr>
        <w:t>mbwa–cachorro</w:t>
      </w:r>
      <w:r>
        <w:t xml:space="preserve">, </w:t>
      </w:r>
      <w:r w:rsidRPr="00195ED6">
        <w:rPr>
          <w:b/>
          <w:color w:val="00B050"/>
        </w:rPr>
        <w:t>wingu–nuvem</w:t>
      </w:r>
      <w:r>
        <w:t xml:space="preserve">, </w:t>
      </w:r>
      <w:r w:rsidRPr="00195ED6">
        <w:rPr>
          <w:b/>
          <w:color w:val="FF0000"/>
        </w:rPr>
        <w:t>lulu–pérola</w:t>
      </w:r>
      <w:r>
        <w:t xml:space="preserve">, </w:t>
      </w:r>
      <w:r w:rsidRPr="00195ED6">
        <w:rPr>
          <w:b/>
          <w:color w:val="FF0000"/>
        </w:rPr>
        <w:t>rafiki–amigo</w:t>
      </w:r>
      <w:r w:rsidRPr="00195ED6">
        <w:t>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Participante </w:t>
      </w:r>
      <w:r>
        <w:rPr>
          <w:i/>
        </w:rPr>
        <w:t>n</w:t>
      </w:r>
      <w:r>
        <w:t xml:space="preserve">: </w:t>
      </w:r>
      <w:r w:rsidRPr="00195ED6">
        <w:rPr>
          <w:b/>
          <w:color w:val="00B050"/>
        </w:rPr>
        <w:t>mbwa–cachorro</w:t>
      </w:r>
      <w:r>
        <w:t xml:space="preserve">, </w:t>
      </w:r>
      <w:r w:rsidRPr="00195ED6">
        <w:rPr>
          <w:b/>
          <w:color w:val="00B050"/>
        </w:rPr>
        <w:t>wingu–nuvem</w:t>
      </w:r>
      <w:r>
        <w:t xml:space="preserve">, </w:t>
      </w:r>
      <w:r w:rsidRPr="00195ED6">
        <w:rPr>
          <w:b/>
          <w:color w:val="FF0000"/>
        </w:rPr>
        <w:t>lulu–pérola</w:t>
      </w:r>
      <w:r>
        <w:t xml:space="preserve">, </w:t>
      </w:r>
      <w:r w:rsidRPr="00195ED6">
        <w:rPr>
          <w:b/>
          <w:color w:val="FF0000"/>
        </w:rPr>
        <w:t>rafiki–amigo</w:t>
      </w:r>
      <w:r w:rsidRPr="00195ED6">
        <w:t>;</w:t>
      </w:r>
    </w:p>
    <w:p w:rsidR="00507743" w:rsidRDefault="00507743" w:rsidP="00507743">
      <w:pPr>
        <w:pStyle w:val="ApaStyleGeneral"/>
      </w:pPr>
      <w:r>
        <w:t>- objetivo da aula:</w:t>
      </w:r>
    </w:p>
    <w:p w:rsidR="001816F1" w:rsidRDefault="00507743" w:rsidP="001816F1">
      <w:pPr>
        <w:pStyle w:val="ApaStyleGeneral"/>
        <w:numPr>
          <w:ilvl w:val="0"/>
          <w:numId w:val="22"/>
        </w:numPr>
      </w:pPr>
      <w:r>
        <w:t xml:space="preserve">Implementar o cenário </w:t>
      </w:r>
      <w:r w:rsidR="002E3DE8">
        <w:t>a seguir:</w:t>
      </w:r>
      <w:r>
        <w:t xml:space="preserve"> designar aleatoriamente os </w:t>
      </w:r>
      <w:r w:rsidR="00195ED6" w:rsidRPr="00195ED6">
        <w:rPr>
          <w:b/>
          <w:color w:val="0070C0"/>
        </w:rPr>
        <w:t>itens</w:t>
      </w:r>
      <w:r>
        <w:t xml:space="preserve"> às diferentes condições experimentais </w:t>
      </w:r>
      <w:r w:rsidRPr="00507743">
        <w:rPr>
          <w:b/>
          <w:color w:val="0070C0"/>
        </w:rPr>
        <w:t>para cada participante</w:t>
      </w:r>
      <w:r>
        <w:t>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Participante 1: </w:t>
      </w:r>
      <w:r w:rsidRPr="00195ED6">
        <w:rPr>
          <w:b/>
          <w:color w:val="FF0000"/>
        </w:rPr>
        <w:t>mbwa–cachorro</w:t>
      </w:r>
      <w:r>
        <w:t xml:space="preserve">, </w:t>
      </w:r>
      <w:r w:rsidRPr="00195ED6">
        <w:rPr>
          <w:b/>
          <w:color w:val="FF0000"/>
        </w:rPr>
        <w:t>wingu–nuvem</w:t>
      </w:r>
      <w:r>
        <w:t xml:space="preserve">, </w:t>
      </w:r>
      <w:r w:rsidRPr="00195ED6">
        <w:rPr>
          <w:b/>
          <w:color w:val="00B050"/>
        </w:rPr>
        <w:t>lulu–pérola</w:t>
      </w:r>
      <w:r>
        <w:t xml:space="preserve">, </w:t>
      </w:r>
      <w:r w:rsidRPr="00195ED6">
        <w:rPr>
          <w:b/>
          <w:color w:val="00B050"/>
        </w:rPr>
        <w:t>rafiki–amigo</w:t>
      </w:r>
      <w:r w:rsidRPr="00195ED6">
        <w:t>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Participante 2: </w:t>
      </w:r>
      <w:r w:rsidRPr="00195ED6">
        <w:rPr>
          <w:b/>
          <w:color w:val="00B050"/>
        </w:rPr>
        <w:t>mbwa–cachorro</w:t>
      </w:r>
      <w:r>
        <w:t xml:space="preserve">, </w:t>
      </w:r>
      <w:r w:rsidRPr="00195ED6">
        <w:rPr>
          <w:b/>
          <w:color w:val="FF0000"/>
        </w:rPr>
        <w:t>wingu–nuvem</w:t>
      </w:r>
      <w:r>
        <w:t xml:space="preserve">, </w:t>
      </w:r>
      <w:r w:rsidRPr="00195ED6">
        <w:rPr>
          <w:b/>
          <w:color w:val="00B050"/>
        </w:rPr>
        <w:t>lulu–pérola</w:t>
      </w:r>
      <w:r>
        <w:t xml:space="preserve">, </w:t>
      </w:r>
      <w:r w:rsidRPr="00195ED6">
        <w:rPr>
          <w:b/>
          <w:color w:val="FF0000"/>
        </w:rPr>
        <w:t>rafiki–amigo</w:t>
      </w:r>
      <w:r w:rsidRPr="00195ED6">
        <w:t>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 […];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Participante </w:t>
      </w:r>
      <w:r>
        <w:rPr>
          <w:i/>
        </w:rPr>
        <w:t xml:space="preserve">n </w:t>
      </w:r>
      <w:r w:rsidRPr="00195ED6">
        <w:t>– 1</w:t>
      </w:r>
      <w:r>
        <w:t xml:space="preserve">: </w:t>
      </w:r>
      <w:r w:rsidRPr="00195ED6">
        <w:rPr>
          <w:b/>
          <w:color w:val="00B050"/>
        </w:rPr>
        <w:t>mbwa–cachorro</w:t>
      </w:r>
      <w:r>
        <w:t xml:space="preserve">, </w:t>
      </w:r>
      <w:r w:rsidRPr="00195ED6">
        <w:rPr>
          <w:b/>
          <w:color w:val="00B050"/>
        </w:rPr>
        <w:t>wingu–nuvem</w:t>
      </w:r>
      <w:r>
        <w:t xml:space="preserve">, </w:t>
      </w:r>
      <w:r w:rsidRPr="00195ED6">
        <w:rPr>
          <w:b/>
          <w:color w:val="FF0000"/>
        </w:rPr>
        <w:t>lulu–pérola</w:t>
      </w:r>
      <w:r>
        <w:t xml:space="preserve">, </w:t>
      </w:r>
      <w:r w:rsidRPr="00195ED6">
        <w:rPr>
          <w:b/>
          <w:color w:val="FF0000"/>
        </w:rPr>
        <w:t>rafiki–amigo</w:t>
      </w:r>
      <w:r w:rsidRPr="00195ED6">
        <w:t>;</w:t>
      </w:r>
    </w:p>
    <w:p w:rsidR="00195ED6" w:rsidRDefault="00195ED6" w:rsidP="00195ED6">
      <w:pPr>
        <w:pStyle w:val="ApaStyleGeneral"/>
        <w:numPr>
          <w:ilvl w:val="1"/>
          <w:numId w:val="22"/>
        </w:numPr>
      </w:pPr>
      <w:r>
        <w:t xml:space="preserve">Participante </w:t>
      </w:r>
      <w:r w:rsidRPr="00195ED6">
        <w:rPr>
          <w:i/>
        </w:rPr>
        <w:t>n</w:t>
      </w:r>
      <w:r>
        <w:t xml:space="preserve">: </w:t>
      </w:r>
      <w:r w:rsidRPr="00195ED6">
        <w:rPr>
          <w:b/>
          <w:color w:val="FF0000"/>
        </w:rPr>
        <w:t>mbwa–cachorro</w:t>
      </w:r>
      <w:r>
        <w:t xml:space="preserve">, </w:t>
      </w:r>
      <w:r w:rsidRPr="00195ED6">
        <w:rPr>
          <w:b/>
          <w:color w:val="00B050"/>
        </w:rPr>
        <w:t>wingu–nuvem</w:t>
      </w:r>
      <w:r>
        <w:t xml:space="preserve">, </w:t>
      </w:r>
      <w:r w:rsidRPr="00195ED6">
        <w:rPr>
          <w:b/>
          <w:color w:val="FF0000"/>
        </w:rPr>
        <w:t>lulu–pérola</w:t>
      </w:r>
      <w:r>
        <w:t xml:space="preserve">, </w:t>
      </w:r>
      <w:r w:rsidRPr="00195ED6">
        <w:rPr>
          <w:b/>
          <w:color w:val="00B050"/>
        </w:rPr>
        <w:t>rafiki–amigo</w:t>
      </w:r>
      <w:r w:rsidRPr="00195ED6">
        <w:t>;</w:t>
      </w:r>
    </w:p>
    <w:p w:rsidR="00507743" w:rsidRDefault="009D330C" w:rsidP="009D330C">
      <w:pPr>
        <w:pStyle w:val="ApaStyleGeneral"/>
      </w:pPr>
      <w:r>
        <w:lastRenderedPageBreak/>
        <w:t>- execução:</w:t>
      </w:r>
    </w:p>
    <w:p w:rsidR="009D330C" w:rsidRDefault="009D330C" w:rsidP="00507743">
      <w:pPr>
        <w:pStyle w:val="ApaStyleGeneral"/>
        <w:numPr>
          <w:ilvl w:val="0"/>
          <w:numId w:val="22"/>
        </w:numPr>
      </w:pPr>
      <w:r>
        <w:t xml:space="preserve">Contexto: </w:t>
      </w:r>
      <w:r w:rsidRPr="000B68B5">
        <w:rPr>
          <w:b/>
          <w:color w:val="0070C0"/>
        </w:rPr>
        <w:t>Sans Forgetica</w:t>
      </w:r>
      <w:r>
        <w:t xml:space="preserve"> </w:t>
      </w:r>
      <w:r w:rsidR="000B68B5">
        <w:t xml:space="preserve">(RMIT Univesity, 2020; Taylor et al., 2020) </w:t>
      </w:r>
      <w:r>
        <w:t xml:space="preserve">e o conceito de </w:t>
      </w:r>
      <w:r w:rsidRPr="000B68B5">
        <w:rPr>
          <w:b/>
          <w:color w:val="0070C0"/>
        </w:rPr>
        <w:t>dificuldades desejáveis</w:t>
      </w:r>
      <w:r w:rsidR="000B68B5">
        <w:t xml:space="preserve"> (Bjork, 1994)</w:t>
      </w:r>
      <w:r>
        <w:t>;</w:t>
      </w:r>
    </w:p>
    <w:p w:rsidR="009D330C" w:rsidRPr="00B11DEF" w:rsidRDefault="009D330C" w:rsidP="009D330C">
      <w:pPr>
        <w:pStyle w:val="ApaStyleGeneral"/>
        <w:jc w:val="center"/>
        <w:rPr>
          <w:b/>
          <w:color w:val="0070C0"/>
          <w:sz w:val="70"/>
          <w:szCs w:val="70"/>
        </w:rPr>
      </w:pPr>
      <w:r w:rsidRPr="00B11DEF">
        <w:rPr>
          <w:b/>
          <w:color w:val="0070C0"/>
          <w:sz w:val="70"/>
          <w:szCs w:val="70"/>
        </w:rPr>
        <w:t>PSYCHOPY</w:t>
      </w:r>
    </w:p>
    <w:p w:rsidR="009D330C" w:rsidRPr="00B11DEF" w:rsidRDefault="009D330C" w:rsidP="009D330C">
      <w:pPr>
        <w:pStyle w:val="ApaStyleGeneral"/>
        <w:jc w:val="center"/>
        <w:rPr>
          <w:rFonts w:ascii="Arial" w:hAnsi="Arial" w:cs="Arial"/>
          <w:b/>
          <w:color w:val="0070C0"/>
          <w:sz w:val="70"/>
          <w:szCs w:val="70"/>
        </w:rPr>
      </w:pPr>
      <w:r w:rsidRPr="00B11DEF">
        <w:rPr>
          <w:rFonts w:ascii="Arial" w:hAnsi="Arial" w:cs="Arial"/>
          <w:b/>
          <w:color w:val="0070C0"/>
          <w:sz w:val="70"/>
          <w:szCs w:val="70"/>
        </w:rPr>
        <w:t>PSYCHOPY</w:t>
      </w:r>
    </w:p>
    <w:p w:rsidR="009D330C" w:rsidRPr="00B11DEF" w:rsidRDefault="009D330C" w:rsidP="009D330C">
      <w:pPr>
        <w:pStyle w:val="ApaStyleGeneral"/>
        <w:jc w:val="center"/>
        <w:rPr>
          <w:rFonts w:ascii="Sans Forgetica" w:hAnsi="Sans Forgetica"/>
          <w:b/>
          <w:color w:val="0070C0"/>
          <w:sz w:val="70"/>
          <w:szCs w:val="70"/>
        </w:rPr>
      </w:pPr>
      <w:r w:rsidRPr="00B11DEF">
        <w:rPr>
          <w:rFonts w:ascii="Sans Forgetica" w:hAnsi="Sans Forgetica"/>
          <w:b/>
          <w:color w:val="0070C0"/>
          <w:sz w:val="70"/>
          <w:szCs w:val="70"/>
        </w:rPr>
        <w:t>PSYCHOPY</w:t>
      </w:r>
    </w:p>
    <w:p w:rsidR="00507743" w:rsidRDefault="00507743" w:rsidP="00507743">
      <w:pPr>
        <w:pStyle w:val="ApaStyleGeneral"/>
        <w:numPr>
          <w:ilvl w:val="0"/>
          <w:numId w:val="22"/>
        </w:numPr>
      </w:pPr>
      <w:r w:rsidRPr="00B11DEF">
        <w:rPr>
          <w:b/>
          <w:color w:val="0070C0"/>
        </w:rPr>
        <w:t>Exemplo 1</w:t>
      </w:r>
      <w:r>
        <w:t>: uma única repetição de cada estímulo da lista;</w:t>
      </w:r>
    </w:p>
    <w:p w:rsidR="00507743" w:rsidRDefault="00507743" w:rsidP="001816F1">
      <w:pPr>
        <w:pStyle w:val="ApaStyleGeneral"/>
        <w:numPr>
          <w:ilvl w:val="0"/>
          <w:numId w:val="22"/>
        </w:numPr>
      </w:pPr>
      <w:r w:rsidRPr="00B11DEF">
        <w:rPr>
          <w:b/>
          <w:color w:val="0070C0"/>
        </w:rPr>
        <w:t>Exemplo 2</w:t>
      </w:r>
      <w:r>
        <w:t xml:space="preserve">: múltiplas e </w:t>
      </w:r>
      <w:r w:rsidRPr="00507743">
        <w:rPr>
          <w:b/>
          <w:color w:val="0070C0"/>
        </w:rPr>
        <w:t>consistentes</w:t>
      </w:r>
      <w:r>
        <w:t xml:space="preserve"> repetições dos estímulos da lista;</w:t>
      </w:r>
    </w:p>
    <w:p w:rsidR="005334C1" w:rsidRDefault="00A30E2F" w:rsidP="009D330C">
      <w:pPr>
        <w:pStyle w:val="ApaStyleGeneral"/>
      </w:pPr>
      <w:r w:rsidRPr="00CB1D9C">
        <w:t>- revisão</w:t>
      </w:r>
      <w:r w:rsidR="009D330C">
        <w:t>.</w:t>
      </w:r>
    </w:p>
    <w:p w:rsidR="000B68B5" w:rsidRPr="000B68B5" w:rsidRDefault="000B68B5" w:rsidP="000B68B5">
      <w:pPr>
        <w:pStyle w:val="APALevel1"/>
        <w:rPr>
          <w:color w:val="0070C0"/>
        </w:rPr>
      </w:pPr>
      <w:r w:rsidRPr="000B68B5">
        <w:rPr>
          <w:color w:val="0070C0"/>
        </w:rPr>
        <w:t>Referências</w:t>
      </w:r>
    </w:p>
    <w:p w:rsidR="000B68B5" w:rsidRPr="003C5E53" w:rsidRDefault="000B68B5" w:rsidP="000B68B5">
      <w:pPr>
        <w:pStyle w:val="ApaStyleGeneral"/>
        <w:ind w:left="720" w:hanging="720"/>
      </w:pPr>
      <w:r w:rsidRPr="00195ED6">
        <w:t xml:space="preserve">Bjork, R. A. (1994). </w:t>
      </w:r>
      <w:r w:rsidRPr="000B68B5">
        <w:rPr>
          <w:lang w:val="en-US"/>
        </w:rPr>
        <w:t xml:space="preserve">Memory and metamemory considerations in the training of human beings. </w:t>
      </w:r>
      <w:r>
        <w:rPr>
          <w:lang w:val="en-US"/>
        </w:rPr>
        <w:t xml:space="preserve">In J. Metcalfe &amp; A. Shimamura (Eds.), </w:t>
      </w:r>
      <w:r>
        <w:rPr>
          <w:i/>
          <w:lang w:val="en-US"/>
        </w:rPr>
        <w:t>Metacognition: Knowing about knowing</w:t>
      </w:r>
      <w:r>
        <w:rPr>
          <w:lang w:val="en-US"/>
        </w:rPr>
        <w:t xml:space="preserve"> (pp. 182–205). </w:t>
      </w:r>
      <w:r w:rsidRPr="003C5E53">
        <w:t>MIT Press.</w:t>
      </w:r>
    </w:p>
    <w:p w:rsidR="00195ED6" w:rsidRDefault="00195ED6" w:rsidP="000B68B5">
      <w:pPr>
        <w:pStyle w:val="ApaStyleGeneral"/>
        <w:ind w:left="720" w:hanging="720"/>
      </w:pPr>
      <w:r w:rsidRPr="00195ED6">
        <w:t xml:space="preserve">Carvalho, D. V. M. (2020). </w:t>
      </w:r>
      <w:r w:rsidRPr="00195ED6">
        <w:rPr>
          <w:i/>
        </w:rPr>
        <w:t>Pode o tipo de letra evitar o esquecimento? Um estudo com a letra Sans Forgetica</w:t>
      </w:r>
      <w:r>
        <w:t xml:space="preserve"> (Dissertação de Mestrado). Universidade do Minho.</w:t>
      </w:r>
    </w:p>
    <w:p w:rsidR="003C5E53" w:rsidRPr="003C5E53" w:rsidRDefault="003C5E53" w:rsidP="000B68B5">
      <w:pPr>
        <w:pStyle w:val="ApaStyleGeneral"/>
        <w:ind w:left="720" w:hanging="720"/>
        <w:rPr>
          <w:lang w:val="en-US"/>
        </w:rPr>
      </w:pPr>
      <w:r w:rsidRPr="003C5E53">
        <w:rPr>
          <w:lang w:val="en-US"/>
        </w:rPr>
        <w:t xml:space="preserve">Lima, M. F. R., &amp; Buratto, L. G. (2021). Norms for familiarity, concreteness, valence, arousal, wordlikeness, and recall accuracy for Swahili–Portuguese word pairs. </w:t>
      </w:r>
      <w:r w:rsidRPr="003C5E53">
        <w:rPr>
          <w:i/>
          <w:lang w:val="en-US"/>
        </w:rPr>
        <w:t>Sage OPEN</w:t>
      </w:r>
      <w:r w:rsidRPr="003C5E53">
        <w:rPr>
          <w:lang w:val="en-US"/>
        </w:rPr>
        <w:t xml:space="preserve">, </w:t>
      </w:r>
      <w:r w:rsidRPr="003C5E53">
        <w:rPr>
          <w:i/>
          <w:lang w:val="en-US"/>
        </w:rPr>
        <w:t>18</w:t>
      </w:r>
      <w:r w:rsidRPr="003C5E53">
        <w:rPr>
          <w:lang w:val="en-US"/>
        </w:rPr>
        <w:t>(1), 1–13. https://doi.org/10.1177/2158244020988524</w:t>
      </w:r>
    </w:p>
    <w:p w:rsidR="000B68B5" w:rsidRPr="003C5E53" w:rsidRDefault="000B68B5" w:rsidP="000B68B5">
      <w:pPr>
        <w:pStyle w:val="ApaStyleGeneral"/>
        <w:ind w:left="720" w:hanging="720"/>
        <w:rPr>
          <w:lang w:val="en-US"/>
        </w:rPr>
      </w:pPr>
      <w:r w:rsidRPr="003C5E53">
        <w:rPr>
          <w:lang w:val="en-US"/>
        </w:rPr>
        <w:t>RMIT University. (2020). Sans Forgetica. Recuperado de sansforgetica.rmit</w:t>
      </w:r>
    </w:p>
    <w:p w:rsidR="000B68B5" w:rsidRPr="000B68B5" w:rsidRDefault="000B68B5" w:rsidP="000B68B5">
      <w:pPr>
        <w:pStyle w:val="ApaStyleGeneral"/>
        <w:ind w:left="720" w:hanging="720"/>
        <w:rPr>
          <w:lang w:val="en-US"/>
        </w:rPr>
      </w:pPr>
      <w:r w:rsidRPr="000B68B5">
        <w:rPr>
          <w:lang w:val="en-US"/>
        </w:rPr>
        <w:lastRenderedPageBreak/>
        <w:t>Taylor, A., Sanson, M., Burnell, R.</w:t>
      </w:r>
      <w:r>
        <w:rPr>
          <w:lang w:val="en-US"/>
        </w:rPr>
        <w:t xml:space="preserve">, Wade, K. A., Garry, M. (2020). Disfluent difficulties are not desirable difficulties: The (lack of) effect of Sans Forgetica on memory. </w:t>
      </w:r>
      <w:r>
        <w:rPr>
          <w:i/>
          <w:lang w:val="en-US"/>
        </w:rPr>
        <w:t>Memory</w:t>
      </w:r>
      <w:r>
        <w:rPr>
          <w:lang w:val="en-US"/>
        </w:rPr>
        <w:t xml:space="preserve">, </w:t>
      </w:r>
      <w:r>
        <w:rPr>
          <w:i/>
          <w:lang w:val="en-US"/>
        </w:rPr>
        <w:t>28</w:t>
      </w:r>
      <w:r>
        <w:rPr>
          <w:lang w:val="en-US"/>
        </w:rPr>
        <w:t>(7), 850–857. https://doi.org/10.1080/09658211.2020.1758726</w:t>
      </w:r>
    </w:p>
    <w:sectPr w:rsidR="000B68B5" w:rsidRPr="000B68B5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C58" w:rsidRDefault="00D06C58" w:rsidP="003E18EB">
      <w:r>
        <w:separator/>
      </w:r>
    </w:p>
  </w:endnote>
  <w:endnote w:type="continuationSeparator" w:id="1">
    <w:p w:rsidR="00D06C58" w:rsidRDefault="00D06C58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ns Forgetica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C58" w:rsidRDefault="00D06C58" w:rsidP="003E18EB">
      <w:r>
        <w:separator/>
      </w:r>
    </w:p>
  </w:footnote>
  <w:footnote w:type="continuationSeparator" w:id="1">
    <w:p w:rsidR="00D06C58" w:rsidRDefault="00D06C58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5B5" w:rsidRPr="00D70A52" w:rsidRDefault="0013307F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AC35B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3C5E5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5B5" w:rsidRPr="00325536" w:rsidRDefault="0013307F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AC35B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3C5E53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0392C"/>
    <w:multiLevelType w:val="hybridMultilevel"/>
    <w:tmpl w:val="30E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21"/>
  </w:num>
  <w:num w:numId="7">
    <w:abstractNumId w:val="15"/>
  </w:num>
  <w:num w:numId="8">
    <w:abstractNumId w:val="22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8"/>
  </w:num>
  <w:num w:numId="17">
    <w:abstractNumId w:val="19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  <w:num w:numId="22">
    <w:abstractNumId w:val="17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8B5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3307F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5ED6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13C1"/>
    <w:rsid w:val="001C3E69"/>
    <w:rsid w:val="001C4DC9"/>
    <w:rsid w:val="001C59DE"/>
    <w:rsid w:val="001C7252"/>
    <w:rsid w:val="001C76BD"/>
    <w:rsid w:val="001D18DD"/>
    <w:rsid w:val="001D394A"/>
    <w:rsid w:val="001D40BA"/>
    <w:rsid w:val="001D6671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3F6F"/>
    <w:rsid w:val="00224B27"/>
    <w:rsid w:val="00226D14"/>
    <w:rsid w:val="0022705D"/>
    <w:rsid w:val="002312DE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3DE8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68E4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5E53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07743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4C1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3BC"/>
    <w:rsid w:val="00545CA2"/>
    <w:rsid w:val="0054629C"/>
    <w:rsid w:val="00547FF8"/>
    <w:rsid w:val="005518C9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B53AB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345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1DA9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0C"/>
    <w:rsid w:val="009D338E"/>
    <w:rsid w:val="009D3898"/>
    <w:rsid w:val="009D413E"/>
    <w:rsid w:val="009D47D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87275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35B5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1D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52E1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6FE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D9C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06C58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2BFE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385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1DF4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58</cp:revision>
  <cp:lastPrinted>2020-03-11T10:28:00Z</cp:lastPrinted>
  <dcterms:created xsi:type="dcterms:W3CDTF">2021-02-27T16:09:00Z</dcterms:created>
  <dcterms:modified xsi:type="dcterms:W3CDTF">2021-08-07T18:03:00Z</dcterms:modified>
</cp:coreProperties>
</file>