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317D94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FA2326" w:rsidRPr="00317D94" w:rsidRDefault="00FA2326" w:rsidP="00317D94">
      <w:pPr>
        <w:pStyle w:val="APALevel2"/>
        <w:rPr>
          <w:color w:val="0070C0"/>
        </w:rPr>
      </w:pPr>
      <w:r w:rsidRPr="00317D94">
        <w:rPr>
          <w:color w:val="0070C0"/>
        </w:rPr>
        <w:t>Finley et al. (2011): accumulating-cues retrieval practice versus dimin</w:t>
      </w:r>
      <w:r w:rsidR="00317D94" w:rsidRPr="00317D94">
        <w:rPr>
          <w:color w:val="0070C0"/>
        </w:rPr>
        <w:t>ishing-cues retrieval practice</w:t>
      </w:r>
    </w:p>
    <w:p w:rsidR="00FA2326" w:rsidRDefault="00FA2326" w:rsidP="00317D94">
      <w:pPr>
        <w:pStyle w:val="ApaStyleGeneral"/>
        <w:jc w:val="both"/>
      </w:pPr>
      <w:r>
        <w:t xml:space="preserve">- materiais: 12 pares de palavras inglês–iñupiaq (e.g., </w:t>
      </w:r>
      <w:r>
        <w:rPr>
          <w:i/>
        </w:rPr>
        <w:t>dust–apyuq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apresentação inicial:</w:t>
      </w:r>
      <w:r>
        <w:t xml:space="preserve"> pares apresentados em ordem aleatória no primeiro ciclo. Essa mesma ordem aleatória é repetida nos dois ciclos subsequentes (total: 3 ciclos; 36 apresentações, 3 por par);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1,5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prática:</w:t>
      </w:r>
      <w:r>
        <w:t xml:space="preserve"> 12 pares são divididos em dois conjuntos com 6 </w:t>
      </w:r>
      <w:r w:rsidR="00EA54DD">
        <w:t xml:space="preserve">pares </w:t>
      </w:r>
      <w:r>
        <w:t>cada. Os pares do primeiro conjunto são praticados 6 vezes antes de começar a prática do segundo conjunto. Dentro de cada conjunto, um par só é praticado uma nova vez após todos os demais terem sido praticados em um mesmo ciclo. Participantes devem digitar palavra em iñupiaq. Há três condições experimentais: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Study-only (somente estudo): pares são apresentados intactos e participante digita (copia) palavra em iñupiaq apresentada na tela;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Accumulating cues (AC; pistas que se acumulam): em cada tentativa de um mesmo par, o participante vê a palavra em iñupiaq com menos pista (e.g., _ _ _ _ _) até mais pista (e.g., </w:t>
      </w:r>
      <w:r>
        <w:rPr>
          <w:i/>
        </w:rPr>
        <w:t>a p y u q</w:t>
      </w:r>
      <w:r>
        <w:t xml:space="preserve">), com o incremento de uma letra por repetição do par. A letra que apareceu em uma oportunidade anterior (e.g., </w:t>
      </w:r>
      <w:r>
        <w:rPr>
          <w:i/>
        </w:rPr>
        <w:t>_ p _ _ _</w:t>
      </w:r>
      <w:r>
        <w:t xml:space="preserve">) segue aparecendo na oportunidade seguinte (e.g., </w:t>
      </w:r>
      <w:r>
        <w:rPr>
          <w:i/>
        </w:rPr>
        <w:t>_ p _ u _</w:t>
      </w:r>
      <w:r>
        <w:t xml:space="preserve">);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Diminishing cues (DC; pistas que diminuem): em cada tentativa de um mesmo par, o participante vê a palavra em iñupiaq com mais pista (e.g., </w:t>
      </w:r>
      <w:r>
        <w:rPr>
          <w:i/>
        </w:rPr>
        <w:t>a p y u q</w:t>
      </w:r>
      <w:r>
        <w:t xml:space="preserve">) até menos pista (e.g., </w:t>
      </w:r>
      <w:r>
        <w:rPr>
          <w:i/>
        </w:rPr>
        <w:t>_ _ _ _ _</w:t>
      </w:r>
      <w:r>
        <w:t xml:space="preserve">), com diminuição de uma letra por repetição do par. A letra que </w:t>
      </w:r>
      <w:r>
        <w:rPr>
          <w:i/>
        </w:rPr>
        <w:t xml:space="preserve">não </w:t>
      </w:r>
      <w:r>
        <w:t xml:space="preserve">apareceu em uma oportunidade anterior (e.g., </w:t>
      </w:r>
      <w:r>
        <w:rPr>
          <w:i/>
        </w:rPr>
        <w:t>_ p _ u _</w:t>
      </w:r>
      <w:r>
        <w:t xml:space="preserve">) segue </w:t>
      </w:r>
      <w:r>
        <w:rPr>
          <w:i/>
        </w:rPr>
        <w:t xml:space="preserve">não </w:t>
      </w:r>
      <w:r>
        <w:t xml:space="preserve">aparecendo na oportunidade seguinte (e.g., </w:t>
      </w:r>
      <w:r>
        <w:rPr>
          <w:i/>
        </w:rPr>
        <w:t>_ p _ _ _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lastRenderedPageBreak/>
        <w:t xml:space="preserve">- observação: em cada conjunto de 6 pares, há dois pares de cada condição experimental. Não há tempo limite de resposta. Enter encerra a tentativa;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10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fase de </w:t>
      </w:r>
      <w:r>
        <w:rPr>
          <w:b/>
          <w:color w:val="0070C0"/>
        </w:rPr>
        <w:t>teste final</w:t>
      </w:r>
      <w:r w:rsidRPr="00FA2326">
        <w:rPr>
          <w:b/>
          <w:color w:val="0070C0"/>
        </w:rPr>
        <w:t>:</w:t>
      </w:r>
      <w:r>
        <w:t xml:space="preserve"> 12 palavras em inglês apresentadas em ordem aleatória; participante deve tentar se recordar de sua tradução em iñupiaq. Não há tempo limite de resposta; </w:t>
      </w:r>
    </w:p>
    <w:p w:rsidR="00FA2326" w:rsidRPr="00317D94" w:rsidRDefault="00317D94" w:rsidP="00317D94">
      <w:pPr>
        <w:pStyle w:val="APALevel2"/>
        <w:rPr>
          <w:color w:val="0070C0"/>
        </w:rPr>
      </w:pPr>
      <w:r w:rsidRPr="00317D94">
        <w:rPr>
          <w:color w:val="0070C0"/>
        </w:rPr>
        <w:t>O</w:t>
      </w:r>
      <w:r w:rsidR="00FA2326" w:rsidRPr="00317D94">
        <w:rPr>
          <w:color w:val="0070C0"/>
        </w:rPr>
        <w:t xml:space="preserve"> que iremos aprender com essa tarefa?</w:t>
      </w:r>
    </w:p>
    <w:p w:rsidR="00FA2326" w:rsidRDefault="00FA2326" w:rsidP="00317D94">
      <w:pPr>
        <w:pStyle w:val="ApaStyleGeneral"/>
        <w:jc w:val="both"/>
      </w:pPr>
      <w:r>
        <w:t xml:space="preserve">Aula 031 – Montando </w:t>
      </w:r>
      <w:r w:rsidR="00B1212F">
        <w:t>o fluxo</w:t>
      </w:r>
      <w:r>
        <w:t xml:space="preserve"> da tarefa; </w:t>
      </w:r>
    </w:p>
    <w:p w:rsidR="00FA2326" w:rsidRDefault="00FA2326" w:rsidP="00317D94">
      <w:pPr>
        <w:pStyle w:val="ApaStyleGeneral"/>
        <w:jc w:val="both"/>
      </w:pPr>
      <w:r>
        <w:t xml:space="preserve">Aula 032 – </w:t>
      </w:r>
      <w:r w:rsidR="00317D94">
        <w:t xml:space="preserve">Aleatorização fixa (random seed); </w:t>
      </w:r>
    </w:p>
    <w:p w:rsidR="00317D94" w:rsidRDefault="00317D94" w:rsidP="00317D94">
      <w:pPr>
        <w:pStyle w:val="ApaStyleGeneral"/>
        <w:jc w:val="both"/>
      </w:pPr>
      <w:r>
        <w:t>Aula 033 – Selecionando subconjunto de linhas do Excel (select</w:t>
      </w:r>
      <w:r w:rsidR="00904F78">
        <w:t>ed</w:t>
      </w:r>
      <w:r>
        <w:t xml:space="preserve"> rows); </w:t>
      </w:r>
    </w:p>
    <w:p w:rsidR="00317D94" w:rsidRDefault="00317D94" w:rsidP="00317D94">
      <w:pPr>
        <w:pStyle w:val="ApaStyleGeneral"/>
        <w:jc w:val="both"/>
      </w:pPr>
      <w:r>
        <w:t xml:space="preserve">Aula 034 – Manipulação de strings; </w:t>
      </w:r>
    </w:p>
    <w:p w:rsidR="00317D94" w:rsidRDefault="00317D94" w:rsidP="00317D94">
      <w:pPr>
        <w:pStyle w:val="ApaStyleGeneral"/>
        <w:jc w:val="both"/>
      </w:pPr>
      <w:r>
        <w:t xml:space="preserve">Aula 035 – Monitoramento de tentativas anteriores; </w:t>
      </w:r>
    </w:p>
    <w:p w:rsidR="000B5920" w:rsidRPr="00114549" w:rsidRDefault="000B5920" w:rsidP="00317D94">
      <w:pPr>
        <w:pStyle w:val="APALevel1"/>
        <w:rPr>
          <w:color w:val="0070C0"/>
          <w:lang w:val="en-US"/>
        </w:rPr>
      </w:pPr>
      <w:r w:rsidRPr="00114549">
        <w:rPr>
          <w:color w:val="0070C0"/>
          <w:lang w:val="en-US"/>
        </w:rPr>
        <w:t>Referências</w:t>
      </w:r>
    </w:p>
    <w:p w:rsidR="000B5920" w:rsidRPr="00317D94" w:rsidRDefault="00317D94" w:rsidP="00317D94">
      <w:pPr>
        <w:pStyle w:val="ApaStyleGeneral"/>
        <w:ind w:left="720" w:hanging="720"/>
        <w:jc w:val="both"/>
        <w:rPr>
          <w:lang w:val="en-US"/>
        </w:rPr>
      </w:pPr>
      <w:r w:rsidRPr="00317D94">
        <w:rPr>
          <w:lang w:val="en-US"/>
        </w:rPr>
        <w:t xml:space="preserve">Finley, J. R., Benjamin, A. S., Hays, M. </w:t>
      </w:r>
      <w:r>
        <w:rPr>
          <w:lang w:val="en-US"/>
        </w:rPr>
        <w:t xml:space="preserve">J., Bjork, R. A., &amp; Kornell, N. (2011). Benefits of accumulating versus diminishing cues in recall. </w:t>
      </w:r>
      <w:r>
        <w:rPr>
          <w:i/>
          <w:lang w:val="en-US"/>
        </w:rPr>
        <w:t>Journal of Memory and Language</w:t>
      </w:r>
      <w:r>
        <w:rPr>
          <w:lang w:val="en-US"/>
        </w:rPr>
        <w:t xml:space="preserve">, </w:t>
      </w:r>
      <w:r>
        <w:rPr>
          <w:i/>
          <w:lang w:val="en-US"/>
        </w:rPr>
        <w:t>64</w:t>
      </w:r>
      <w:r>
        <w:rPr>
          <w:lang w:val="en-US"/>
        </w:rPr>
        <w:t>, 289–298. https://doi.org/</w:t>
      </w:r>
      <w:r w:rsidRPr="00317D94">
        <w:rPr>
          <w:lang w:val="en-US"/>
        </w:rPr>
        <w:t>10.1016/j.jml.2011.01.006</w:t>
      </w:r>
    </w:p>
    <w:p w:rsidR="00317D94" w:rsidRPr="00317D94" w:rsidRDefault="00317D94">
      <w:pPr>
        <w:pStyle w:val="ApaStyleGeneral"/>
        <w:ind w:left="720" w:hanging="720"/>
        <w:jc w:val="both"/>
        <w:rPr>
          <w:lang w:val="en-US"/>
        </w:rPr>
      </w:pPr>
    </w:p>
    <w:sectPr w:rsidR="00317D94" w:rsidRPr="00317D94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FA5" w:rsidRDefault="003B5FA5" w:rsidP="003E18EB">
      <w:r>
        <w:separator/>
      </w:r>
    </w:p>
  </w:endnote>
  <w:endnote w:type="continuationSeparator" w:id="1">
    <w:p w:rsidR="003B5FA5" w:rsidRDefault="003B5FA5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FA5" w:rsidRDefault="003B5FA5" w:rsidP="003E18EB">
      <w:r>
        <w:separator/>
      </w:r>
    </w:p>
  </w:footnote>
  <w:footnote w:type="continuationSeparator" w:id="1">
    <w:p w:rsidR="003B5FA5" w:rsidRDefault="003B5FA5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EB1BFD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04F78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EB1BFD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904F78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9373E4"/>
    <w:multiLevelType w:val="hybridMultilevel"/>
    <w:tmpl w:val="8252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6"/>
  </w:num>
  <w:num w:numId="8">
    <w:abstractNumId w:val="24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2"/>
  </w:num>
  <w:num w:numId="19">
    <w:abstractNumId w:val="12"/>
  </w:num>
  <w:num w:numId="20">
    <w:abstractNumId w:val="3"/>
  </w:num>
  <w:num w:numId="21">
    <w:abstractNumId w:val="11"/>
  </w:num>
  <w:num w:numId="22">
    <w:abstractNumId w:val="19"/>
  </w:num>
  <w:num w:numId="23">
    <w:abstractNumId w:val="22"/>
  </w:num>
  <w:num w:numId="24">
    <w:abstractNumId w:val="18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2783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44AB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524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4549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3F74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15F8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05DF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17D94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5FA5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A6F59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1EBC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59CD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4F78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2DEC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BAF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2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1E5D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230B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A54DD"/>
    <w:rsid w:val="00EB0F54"/>
    <w:rsid w:val="00EB1443"/>
    <w:rsid w:val="00EB19C7"/>
    <w:rsid w:val="00EB1BFD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155E9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5638"/>
    <w:rsid w:val="00F8612E"/>
    <w:rsid w:val="00F91BE7"/>
    <w:rsid w:val="00F932A0"/>
    <w:rsid w:val="00F948F8"/>
    <w:rsid w:val="00F959DB"/>
    <w:rsid w:val="00F960C1"/>
    <w:rsid w:val="00F96874"/>
    <w:rsid w:val="00F96D6A"/>
    <w:rsid w:val="00FA1056"/>
    <w:rsid w:val="00FA179D"/>
    <w:rsid w:val="00FA2326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Windows User</cp:lastModifiedBy>
  <cp:revision>67</cp:revision>
  <cp:lastPrinted>2020-03-11T10:28:00Z</cp:lastPrinted>
  <dcterms:created xsi:type="dcterms:W3CDTF">2021-02-27T16:09:00Z</dcterms:created>
  <dcterms:modified xsi:type="dcterms:W3CDTF">2022-07-09T14:12:00Z</dcterms:modified>
</cp:coreProperties>
</file>