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ecklist-dua-para-guías-de-aprendizaje"/>
    <w:p>
      <w:pPr>
        <w:pStyle w:val="Heading1"/>
      </w:pPr>
      <w:r>
        <w:t xml:space="preserve">Checklist DUA para guías de aprendizaje</w:t>
      </w:r>
    </w:p>
    <w:p>
      <w:pPr>
        <w:pStyle w:val="FirstParagraph"/>
      </w:pPr>
      <w:r>
        <w:t xml:space="preserve">Unidad 2 — Actividades Auténticas e Inclusión Digital por Diseño (DUA)</w:t>
      </w:r>
    </w:p>
    <w:p>
      <w:pPr>
        <w:pStyle w:val="BodyText"/>
      </w:pPr>
      <w:r>
        <w:t xml:space="preserve">Marca cada ítem que tu guía de aprendizaje cumple:</w:t>
      </w:r>
    </w:p>
    <w:p>
      <w:pPr>
        <w:numPr>
          <w:ilvl w:val="0"/>
          <w:numId w:val="1001"/>
        </w:numPr>
        <w:pStyle w:val="Compact"/>
      </w:pPr>
      <w:r>
        <w:t xml:space="preserve">☐ El contenido principal está disponible en más de un formato (texto, audio o video).</w:t>
      </w:r>
    </w:p>
    <w:p>
      <w:pPr>
        <w:numPr>
          <w:ilvl w:val="0"/>
          <w:numId w:val="1001"/>
        </w:numPr>
        <w:pStyle w:val="Compact"/>
      </w:pPr>
      <w:r>
        <w:t xml:space="preserve">☐ Existe una versión liviana / descargable para conectividad limitada.</w:t>
      </w:r>
    </w:p>
    <w:p>
      <w:pPr>
        <w:numPr>
          <w:ilvl w:val="0"/>
          <w:numId w:val="1001"/>
        </w:numPr>
        <w:pStyle w:val="Compact"/>
      </w:pPr>
      <w:r>
        <w:t xml:space="preserve">☐ Se ofrecen al menos dos formas de demostrar el aprendizaje (ej. texto, oral, visual).</w:t>
      </w:r>
    </w:p>
    <w:p>
      <w:pPr>
        <w:numPr>
          <w:ilvl w:val="0"/>
          <w:numId w:val="1001"/>
        </w:numPr>
        <w:pStyle w:val="Compact"/>
      </w:pPr>
      <w:r>
        <w:t xml:space="preserve">☐ Hay ejemplos resueltos o modelos antes de la tarea autónoma.</w:t>
      </w:r>
    </w:p>
    <w:p>
      <w:pPr>
        <w:numPr>
          <w:ilvl w:val="0"/>
          <w:numId w:val="1001"/>
        </w:numPr>
        <w:pStyle w:val="Compact"/>
      </w:pPr>
      <w:r>
        <w:t xml:space="preserve">☐ Existen pistas o andamiajes progresivos disponibles bajo demanda.</w:t>
      </w:r>
    </w:p>
    <w:p>
      <w:pPr>
        <w:numPr>
          <w:ilvl w:val="0"/>
          <w:numId w:val="1001"/>
        </w:numPr>
        <w:pStyle w:val="Compact"/>
      </w:pPr>
      <w:r>
        <w:t xml:space="preserve">☐ El lenguaje evita tecnicismos innecesarios o incluye un glosario emergente.</w:t>
      </w:r>
    </w:p>
    <w:p>
      <w:pPr>
        <w:numPr>
          <w:ilvl w:val="0"/>
          <w:numId w:val="1001"/>
        </w:numPr>
        <w:pStyle w:val="Compact"/>
      </w:pPr>
      <w:r>
        <w:t xml:space="preserve">☐ La guía explicita la relevancia o utilidad del contenido para el estudiante.</w:t>
      </w:r>
    </w:p>
    <w:p>
      <w:pPr>
        <w:numPr>
          <w:ilvl w:val="0"/>
          <w:numId w:val="1001"/>
        </w:numPr>
        <w:pStyle w:val="Compact"/>
      </w:pPr>
      <w:r>
        <w:t xml:space="preserve">☐ Las actividades permiten distintos ritmos o tiempos de entrega.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cuenta cuántos ítems cumples. 7-8 = alta flexibilidad (verde). 4-6 = flexibilidad parcial (amarillo). 0-3 = guía rígida (rojo).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2026-07-07T03:39:59Z</dcterms:created>
  <dcterms:modified xsi:type="dcterms:W3CDTF">2026-07-07T03:39:59Z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