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认知症患者主动安全伴护系统</w:t>
      </w:r>
    </w:p>
    <w:p>
      <w:pPr>
        <w:pStyle w:val="Subtitle"/>
      </w:pPr>
      <w:r>
        <w:t>原型需求修订方案</w:t>
      </w:r>
    </w:p>
    <w:p>
      <w:pPr>
        <w:pStyle w:val="Metadata"/>
      </w:pPr>
      <w:r>
        <w:t>更新时间：2026-08-28  |  工业设计保研面试原型</w:t>
      </w:r>
    </w:p>
    <w:p>
      <w:pPr>
        <w:pStyle w:val="Callout"/>
        <w:shd w:fill="F4F6F9" w:val="clear"/>
      </w:pPr>
      <w:r>
        <w:t>本文是需求方案，不代表功能已经开发或通过测试。用于工业设计保研面试，展示视觉 AI 集成、交互设计、规则决策、反馈闭环与工程验证。不用于真实患者安全保障，不替代照护者、独立烟雾报警器或紧急服务。</w:t>
      </w:r>
    </w:p>
    <w:p>
      <w:pPr>
        <w:pStyle w:val="Heading1"/>
        <w:numPr>
          <w:ilvl w:val="0"/>
          <w:numId w:val="11"/>
        </w:numPr>
      </w:pPr>
      <w:r>
        <w:t>当前范围</w:t>
      </w:r>
    </w:p>
    <w:p>
      <w:pPr>
        <w:pStyle w:val="BulletItem"/>
        <w:numPr>
          <w:ilvl w:val="0"/>
          <w:numId w:val="10"/>
        </w:numPr>
      </w:pPr>
      <w:r>
        <w:t>电脑内置摄像头提供真实视频，使用预训练 YOLO / YOLO Pose 与目标跟踪读取人物位置、轨迹和姿态。</w:t>
      </w:r>
    </w:p>
    <w:p>
      <w:pPr>
        <w:pStyle w:val="BulletItem"/>
        <w:numPr>
          <w:ilvl w:val="0"/>
          <w:numId w:val="10"/>
        </w:numPr>
      </w:pPr>
      <w:r>
        <w:t>网页展示监测结果、环境信息、风险依据、当前干预、事件处理及日志。</w:t>
      </w:r>
    </w:p>
    <w:p>
      <w:pPr>
        <w:pStyle w:val="BulletItem"/>
        <w:numPr>
          <w:ilvl w:val="0"/>
          <w:numId w:val="10"/>
        </w:numPr>
      </w:pPr>
      <w:r>
        <w:t>纳入 L0—L4 风险分级、I0—I4 干预类型、能力档案、反馈闭环和有限状态机。</w:t>
      </w:r>
    </w:p>
    <w:p>
      <w:pPr>
        <w:pStyle w:val="BulletItem"/>
        <w:numPr>
          <w:ilvl w:val="0"/>
          <w:numId w:val="10"/>
        </w:numPr>
      </w:pPr>
      <w:r>
        <w:t>温湿度、烟雾等环境输入在未接硬件时使用明确标注的模拟数据；以后可以换成传感器适配器。</w:t>
      </w:r>
    </w:p>
    <w:p>
      <w:pPr>
        <w:pStyle w:val="BulletItem"/>
        <w:numPr>
          <w:ilvl w:val="0"/>
          <w:numId w:val="10"/>
        </w:numPr>
      </w:pPr>
      <w:r>
        <w:t>当前不接手机推送、短信、电话和真实执行机构，不展开开发排期。</w:t>
      </w:r>
    </w:p>
    <w:p>
      <w:pPr>
        <w:pStyle w:val="BulletItem"/>
        <w:numPr>
          <w:ilvl w:val="0"/>
          <w:numId w:val="10"/>
        </w:numPr>
      </w:pPr>
      <w:r>
        <w:t>不要求自行训练模型。姿态模型负责提取关键点，后续程序负责事件判断；不得宣称预训练姿态模型天然具备跌倒识别能力。</w:t>
      </w:r>
      <w:hyperlink r:id="rId11">
        <w:r>
          <w:rPr>
            <w:color w:val="2E74B5"/>
            <w:u w:val="single"/>
          </w:rPr>
          <w:t>Ultralytics 姿态模型文档</w:t>
        </w:r>
      </w:hyperlink>
    </w:p>
    <w:p>
      <w:pPr>
        <w:pStyle w:val="Heading1"/>
        <w:numPr>
          <w:ilvl w:val="0"/>
          <w:numId w:val="11"/>
        </w:numPr>
      </w:pPr>
      <w:r>
        <w:t>数据来源必须可见</w:t>
      </w:r>
    </w:p>
    <w:p>
      <w:pPr/>
      <w:r>
        <w:t>每条输入包含来源、时间戳、有效性及设备/场景标识；视觉输入另外记录检测置信度与跟踪状态。模型置信度不是风险概率。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CD5DF"/>
          <w:bottom w:val="single" w:sz="4" w:color="CCD5DF"/>
          <w:left w:val="single" w:sz="4" w:color="CCD5DF"/>
          <w:right w:val="single" w:sz="4" w:color="CCD5DF"/>
          <w:insideH w:val="single" w:sz="4" w:color="CCD5DF"/>
          <w:insideV w:val="single" w:sz="4" w:color="CCD5DF"/>
        </w:tblBorders>
      </w:tblPr>
      <w:tblGrid>
        <w:gridCol w:w="1500"/>
        <w:gridCol w:w="4860"/>
        <w:gridCol w:w="3000"/>
      </w:tblGrid>
      <w:tr>
        <w:trPr>
          <w:cantSplit/>
          <w:tblHeader/>
        </w:trPr>
        <w:tc>
          <w:tcPr>
            <w:tcW w:type="dxa" w:w="150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来源</w:t>
            </w:r>
          </w:p>
        </w:tc>
        <w:tc>
          <w:tcPr>
            <w:tcW w:type="dxa" w:w="486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含义</w:t>
            </w:r>
          </w:p>
        </w:tc>
        <w:tc>
          <w:tcPr>
            <w:tcW w:type="dxa" w:w="300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网页标签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pStyle w:val="TableText"/>
            </w:pPr>
            <w:r>
              <w:t>camera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</w:pPr>
            <w:r>
              <w:t>摄像头实际观测，经模型或程序计算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实时视觉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pStyle w:val="TableText"/>
            </w:pPr>
            <w:r>
              <w:t>replay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</w:pPr>
            <w:r>
              <w:t>已录视频经过同一识别流程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视频回放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pStyle w:val="TableText"/>
            </w:pPr>
            <w:r>
              <w:t>sensor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</w:pPr>
            <w:r>
              <w:t>实际接入且有效的传感器数据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真实传感器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pStyle w:val="TableText"/>
            </w:pPr>
            <w:r>
              <w:t>simulated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</w:pPr>
            <w:r>
              <w:t>调试面板或脚本生成的环境数据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模拟数据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pStyle w:val="TableText"/>
            </w:pPr>
            <w:r>
              <w:t>manual</w:t>
            </w:r>
          </w:p>
        </w:tc>
        <w:tc>
          <w:tcPr>
            <w:tcW w:type="dxa" w:w="4860"/>
            <w:vAlign w:val="center"/>
          </w:tcPr>
          <w:p>
            <w:pPr>
              <w:pStyle w:val="TableText"/>
            </w:pPr>
            <w:r>
              <w:t>患者或演示者/照护者通过界面输入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</w:pPr>
            <w:r>
              <w:t>人工输入，并区分角色</w:t>
            </w:r>
          </w:p>
        </w:tc>
      </w:tr>
    </w:tbl>
    <w:p>
      <w:pPr>
        <w:pStyle w:val="TableSpacer"/>
      </w:pPr>
    </w:p>
    <w:p>
      <w:pPr/>
      <w:r>
        <w:t>缺失、过期、断开、遮挡和无法判断必须单独显示，不能当成“正常”。视觉与环境输入混合时显示“混合来源”，保留每条证据的来源。</w:t>
      </w:r>
    </w:p>
    <w:p>
      <w:pPr>
        <w:pStyle w:val="Heading1"/>
        <w:numPr>
          <w:ilvl w:val="0"/>
          <w:numId w:val="11"/>
        </w:numPr>
      </w:pPr>
      <w:r>
        <w:t>视觉功能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CD5DF"/>
          <w:bottom w:val="single" w:sz="4" w:color="CCD5DF"/>
          <w:left w:val="single" w:sz="4" w:color="CCD5DF"/>
          <w:right w:val="single" w:sz="4" w:color="CCD5DF"/>
          <w:insideH w:val="single" w:sz="4" w:color="CCD5DF"/>
          <w:insideV w:val="single" w:sz="4" w:color="CCD5DF"/>
        </w:tblBorders>
      </w:tblPr>
      <w:tblGrid>
        <w:gridCol w:w="2040"/>
        <w:gridCol w:w="3480"/>
        <w:gridCol w:w="3840"/>
      </w:tblGrid>
      <w:tr>
        <w:trPr>
          <w:cantSplit/>
          <w:tblHeader/>
        </w:trPr>
        <w:tc>
          <w:tcPr>
            <w:tcW w:type="dxa" w:w="204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功能</w:t>
            </w:r>
          </w:p>
        </w:tc>
        <w:tc>
          <w:tcPr>
            <w:tcW w:type="dxa" w:w="348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输入与输出</w:t>
            </w:r>
          </w:p>
        </w:tc>
        <w:tc>
          <w:tcPr>
            <w:tcW w:type="dxa" w:w="384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边界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人员出现与离开</w:t>
            </w:r>
          </w:p>
        </w:tc>
        <w:tc>
          <w:tcPr>
            <w:tcW w:type="dxa" w:w="3480"/>
            <w:vAlign w:val="center"/>
          </w:tcPr>
          <w:p>
            <w:pPr>
              <w:pStyle w:val="TableText"/>
            </w:pPr>
            <w:r>
              <w:t>检测框、跟踪 ID、出现时间、区域退出事件</w:t>
            </w:r>
          </w:p>
        </w:tc>
        <w:tc>
          <w:tcPr>
            <w:tcW w:type="dxa" w:w="3840"/>
            <w:vAlign w:val="center"/>
          </w:tcPr>
          <w:p>
            <w:pPr>
              <w:pStyle w:val="TableText"/>
            </w:pPr>
            <w:r>
              <w:t>ID 不代表患者身份；未检测到不等于已离开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关注区域接近与停留</w:t>
            </w:r>
          </w:p>
        </w:tc>
        <w:tc>
          <w:tcPr>
            <w:tcW w:type="dxa" w:w="3480"/>
            <w:vAlign w:val="center"/>
          </w:tcPr>
          <w:p>
            <w:pPr>
              <w:pStyle w:val="TableText"/>
            </w:pPr>
            <w:r>
              <w:t>人体参考点、预设区域、进入/退出时间、停留时长</w:t>
            </w:r>
          </w:p>
        </w:tc>
        <w:tc>
          <w:tcPr>
            <w:tcW w:type="dxa" w:w="3840"/>
            <w:vAlign w:val="center"/>
          </w:tcPr>
          <w:p>
            <w:pPr>
              <w:pStyle w:val="TableText"/>
            </w:pPr>
            <w:r>
              <w:t>进入不自动等于危险；参考点和区域定义须一致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门口越线与返回</w:t>
            </w:r>
          </w:p>
        </w:tc>
        <w:tc>
          <w:tcPr>
            <w:tcW w:type="dxa" w:w="3480"/>
            <w:vAlign w:val="center"/>
          </w:tcPr>
          <w:p>
            <w:pPr>
              <w:pStyle w:val="TableText"/>
            </w:pPr>
            <w:r>
              <w:t>有方向的边界穿越、返回事件</w:t>
            </w:r>
          </w:p>
        </w:tc>
        <w:tc>
          <w:tcPr>
            <w:tcW w:type="dxa" w:w="3840"/>
            <w:vAlign w:val="center"/>
          </w:tcPr>
          <w:p>
            <w:pPr>
              <w:pStyle w:val="TableText"/>
            </w:pPr>
            <w:r>
              <w:t>不等于识别走失，不做画面之外的位置推断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疑似跌倒与倒地停留</w:t>
            </w:r>
          </w:p>
        </w:tc>
        <w:tc>
          <w:tcPr>
            <w:tcW w:type="dxa" w:w="3480"/>
            <w:vAlign w:val="center"/>
          </w:tcPr>
          <w:p>
            <w:pPr>
              <w:pStyle w:val="TableText"/>
            </w:pPr>
            <w:r>
              <w:t>连续姿态变化、相对下降、躯干方向、后续低位姿态</w:t>
            </w:r>
          </w:p>
        </w:tc>
        <w:tc>
          <w:tcPr>
            <w:tcW w:type="dxa" w:w="3840"/>
            <w:vAlign w:val="center"/>
          </w:tcPr>
          <w:p>
            <w:pPr>
              <w:pStyle w:val="TableText"/>
            </w:pPr>
            <w:r>
              <w:t>不以单帧宽高比判定；不能判断意识、伤情或真实安全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举手求助</w:t>
            </w:r>
          </w:p>
        </w:tc>
        <w:tc>
          <w:tcPr>
            <w:tcW w:type="dxa" w:w="3480"/>
            <w:vAlign w:val="center"/>
          </w:tcPr>
          <w:p>
            <w:pPr>
              <w:pStyle w:val="TableText"/>
            </w:pPr>
            <w:r>
              <w:t>约定的持续举手姿态</w:t>
            </w:r>
          </w:p>
        </w:tc>
        <w:tc>
          <w:tcPr>
            <w:tcW w:type="dxa" w:w="3840"/>
            <w:vAlign w:val="center"/>
          </w:tcPr>
          <w:p>
            <w:pPr>
              <w:pStyle w:val="TableText"/>
            </w:pPr>
            <w:r>
              <w:t>扩展项；不能假设所有患者都能理解或完成，保留按钮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离床/离椅</w:t>
            </w:r>
          </w:p>
        </w:tc>
        <w:tc>
          <w:tcPr>
            <w:tcW w:type="dxa" w:w="3480"/>
            <w:vAlign w:val="center"/>
          </w:tcPr>
          <w:p>
            <w:pPr>
              <w:pStyle w:val="TableText"/>
            </w:pPr>
            <w:r>
              <w:t>可见休息区域与姿态变化</w:t>
            </w:r>
          </w:p>
        </w:tc>
        <w:tc>
          <w:tcPr>
            <w:tcW w:type="dxa" w:w="3840"/>
            <w:vAlign w:val="center"/>
          </w:tcPr>
          <w:p>
            <w:pPr>
              <w:pStyle w:val="TableText"/>
            </w:pPr>
            <w:r>
              <w:t>扩展项；起身本身不是危险，遮挡时不作可靠判断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pStyle w:val="TableText"/>
            </w:pPr>
            <w:r>
              <w:t>反复往返记录</w:t>
            </w:r>
          </w:p>
        </w:tc>
        <w:tc>
          <w:tcPr>
            <w:tcW w:type="dxa" w:w="3480"/>
            <w:vAlign w:val="center"/>
          </w:tcPr>
          <w:p>
            <w:pPr>
              <w:pStyle w:val="TableText"/>
            </w:pPr>
            <w:r>
              <w:t>连续轨迹中的重复往返</w:t>
            </w:r>
          </w:p>
        </w:tc>
        <w:tc>
          <w:tcPr>
            <w:tcW w:type="dxa" w:w="3840"/>
            <w:vAlign w:val="center"/>
          </w:tcPr>
          <w:p>
            <w:pPr>
              <w:pStyle w:val="TableText"/>
            </w:pPr>
            <w:r>
              <w:t>扩展项；不推断焦虑、迷路或认知程度</w:t>
            </w:r>
          </w:p>
        </w:tc>
      </w:tr>
    </w:tbl>
    <w:p>
      <w:pPr>
        <w:pStyle w:val="TableSpacer"/>
      </w:pPr>
    </w:p>
    <w:p>
      <w:pPr/>
      <w:r>
        <w:t>运行条件先限定为固定机位、单人、照明较好、相关身体部位可见。电脑换位置后重新配置区域；不承诺跨房间连续跟踪。距离先显示区域关系，不把像素直接标成厘米。真实地面距离估计属于后续标定功能。</w:t>
      </w:r>
    </w:p>
    <w:p>
      <w:pPr/>
      <w:r>
        <w:t>跌倒事件出现后提供明确提示与人工求助入口，不以人为设定的等待时间阻塞求助。起身不自动证明无伤。演示不得要求实际摔倒；动态过程使用来源与使用权限明确的测试素材。</w:t>
      </w:r>
    </w:p>
    <w:p>
      <w:pPr>
        <w:pStyle w:val="Heading1"/>
        <w:numPr>
          <w:ilvl w:val="0"/>
          <w:numId w:val="11"/>
        </w:numPr>
      </w:pPr>
      <w:r>
        <w:t>环境监测模块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CD5DF"/>
          <w:bottom w:val="single" w:sz="4" w:color="CCD5DF"/>
          <w:left w:val="single" w:sz="4" w:color="CCD5DF"/>
          <w:right w:val="single" w:sz="4" w:color="CCD5DF"/>
          <w:insideH w:val="single" w:sz="4" w:color="CCD5DF"/>
          <w:insideV w:val="single" w:sz="4" w:color="CCD5DF"/>
        </w:tblBorders>
      </w:tblPr>
      <w:tblGrid>
        <w:gridCol w:w="1620"/>
        <w:gridCol w:w="2520"/>
        <w:gridCol w:w="2400"/>
        <w:gridCol w:w="2820"/>
      </w:tblGrid>
      <w:tr>
        <w:trPr>
          <w:cantSplit/>
          <w:tblHeader/>
        </w:trPr>
        <w:tc>
          <w:tcPr>
            <w:tcW w:type="dxa" w:w="162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功能</w:t>
            </w:r>
          </w:p>
        </w:tc>
        <w:tc>
          <w:tcPr>
            <w:tcW w:type="dxa" w:w="252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输入</w:t>
            </w:r>
          </w:p>
        </w:tc>
        <w:tc>
          <w:tcPr>
            <w:tcW w:type="dxa" w:w="240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当前实现</w:t>
            </w:r>
          </w:p>
        </w:tc>
        <w:tc>
          <w:tcPr>
            <w:tcW w:type="dxa" w:w="282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对决策的影响</w:t>
            </w:r>
          </w:p>
        </w:tc>
      </w:tr>
      <w:tr>
        <w:trPr>
          <w:cantSplit/>
        </w:trPr>
        <w:tc>
          <w:tcPr>
            <w:tcW w:type="dxa" w:w="1620"/>
            <w:vAlign w:val="center"/>
          </w:tcPr>
          <w:p>
            <w:pPr>
              <w:pStyle w:val="TableText"/>
            </w:pPr>
            <w:r>
              <w:t>温度</w:t>
            </w:r>
          </w:p>
        </w:tc>
        <w:tc>
          <w:tcPr>
            <w:tcW w:type="dxa" w:w="2520"/>
            <w:vAlign w:val="center"/>
          </w:tcPr>
          <w:p>
            <w:pPr>
              <w:pStyle w:val="TableText"/>
            </w:pPr>
            <w:r>
              <w:t>温度、单位、更新时间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数值卡片、短趋势、模拟滑块</w:t>
            </w:r>
          </w:p>
        </w:tc>
        <w:tc>
          <w:tcPr>
            <w:tcW w:type="dxa" w:w="2820"/>
            <w:vAlign w:val="center"/>
          </w:tcPr>
          <w:p>
            <w:pPr>
              <w:pStyle w:val="TableText"/>
            </w:pPr>
            <w:r>
              <w:t>超出演示范围可产生环境关注与提醒</w:t>
            </w:r>
          </w:p>
        </w:tc>
      </w:tr>
      <w:tr>
        <w:trPr>
          <w:cantSplit/>
        </w:trPr>
        <w:tc>
          <w:tcPr>
            <w:tcW w:type="dxa" w:w="1620"/>
            <w:vAlign w:val="center"/>
          </w:tcPr>
          <w:p>
            <w:pPr>
              <w:pStyle w:val="TableText"/>
            </w:pPr>
            <w:r>
              <w:t>湿度</w:t>
            </w:r>
          </w:p>
        </w:tc>
        <w:tc>
          <w:tcPr>
            <w:tcW w:type="dxa" w:w="2520"/>
            <w:vAlign w:val="center"/>
          </w:tcPr>
          <w:p>
            <w:pPr>
              <w:pStyle w:val="TableText"/>
            </w:pPr>
            <w:r>
              <w:t>相对湿度、单位、更新时间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数值卡片、短趋势、模拟滑块</w:t>
            </w:r>
          </w:p>
        </w:tc>
        <w:tc>
          <w:tcPr>
            <w:tcW w:type="dxa" w:w="2820"/>
            <w:vAlign w:val="center"/>
          </w:tcPr>
          <w:p>
            <w:pPr>
              <w:pStyle w:val="TableText"/>
            </w:pPr>
            <w:r>
              <w:t>超出演示范围可产生环境关注与提醒</w:t>
            </w:r>
          </w:p>
        </w:tc>
      </w:tr>
      <w:tr>
        <w:trPr>
          <w:cantSplit/>
        </w:trPr>
        <w:tc>
          <w:tcPr>
            <w:tcW w:type="dxa" w:w="1620"/>
            <w:vAlign w:val="center"/>
          </w:tcPr>
          <w:p>
            <w:pPr>
              <w:pStyle w:val="TableText"/>
            </w:pPr>
            <w:r>
              <w:t>烟雾报警器状态</w:t>
            </w:r>
          </w:p>
        </w:tc>
        <w:tc>
          <w:tcPr>
            <w:tcW w:type="dxa" w:w="2520"/>
            <w:vAlign w:val="center"/>
          </w:tcPr>
          <w:p>
            <w:pPr>
              <w:pStyle w:val="TableText"/>
            </w:pPr>
            <w:r>
              <w:t>normal / alarm / fault / offline / unknown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独立状态卡、模拟报警开关</w:t>
            </w:r>
          </w:p>
        </w:tc>
        <w:tc>
          <w:tcPr>
            <w:tcW w:type="dxa" w:w="2820"/>
            <w:vAlign w:val="center"/>
          </w:tcPr>
          <w:p>
            <w:pPr>
              <w:pStyle w:val="TableText"/>
            </w:pPr>
            <w:r>
              <w:t>alarm 进入紧急事件分支，不等待视觉确认</w:t>
            </w:r>
          </w:p>
        </w:tc>
      </w:tr>
      <w:tr>
        <w:trPr>
          <w:cantSplit/>
        </w:trPr>
        <w:tc>
          <w:tcPr>
            <w:tcW w:type="dxa" w:w="1620"/>
            <w:vAlign w:val="center"/>
          </w:tcPr>
          <w:p>
            <w:pPr>
              <w:pStyle w:val="TableText"/>
            </w:pPr>
            <w:r>
              <w:t>燃气报警状态</w:t>
            </w:r>
          </w:p>
        </w:tc>
        <w:tc>
          <w:tcPr>
            <w:tcW w:type="dxa" w:w="2520"/>
            <w:vAlign w:val="center"/>
          </w:tcPr>
          <w:p>
            <w:pPr>
              <w:pStyle w:val="TableText"/>
            </w:pPr>
            <w:r>
              <w:t>normal / alarm / fault / offline / unknown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可选模拟卡片</w:t>
            </w:r>
          </w:p>
        </w:tc>
        <w:tc>
          <w:tcPr>
            <w:tcW w:type="dxa" w:w="2820"/>
            <w:vAlign w:val="center"/>
          </w:tcPr>
          <w:p>
            <w:pPr>
              <w:pStyle w:val="TableText"/>
            </w:pPr>
            <w:r>
              <w:t>有效报警进入预设紧急分支；不能由普通摄像头确认泄漏</w:t>
            </w:r>
          </w:p>
        </w:tc>
      </w:tr>
      <w:tr>
        <w:trPr>
          <w:cantSplit/>
        </w:trPr>
        <w:tc>
          <w:tcPr>
            <w:tcW w:type="dxa" w:w="1620"/>
            <w:vAlign w:val="center"/>
          </w:tcPr>
          <w:p>
            <w:pPr>
              <w:pStyle w:val="TableText"/>
            </w:pPr>
            <w:r>
              <w:t>门磁状态</w:t>
            </w:r>
          </w:p>
        </w:tc>
        <w:tc>
          <w:tcPr>
            <w:tcW w:type="dxa" w:w="2520"/>
            <w:vAlign w:val="center"/>
          </w:tcPr>
          <w:p>
            <w:pPr>
              <w:pStyle w:val="TableText"/>
            </w:pPr>
            <w:r>
              <w:t>open / closed / unknown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可选模拟开关或以后接入硬件</w:t>
            </w:r>
          </w:p>
        </w:tc>
        <w:tc>
          <w:tcPr>
            <w:tcW w:type="dxa" w:w="2820"/>
            <w:vAlign w:val="center"/>
          </w:tcPr>
          <w:p>
            <w:pPr>
              <w:pStyle w:val="TableText"/>
            </w:pPr>
            <w:r>
              <w:t>可作为越线事件的辅助证据，不能识别人是否外出</w:t>
            </w:r>
          </w:p>
        </w:tc>
      </w:tr>
      <w:tr>
        <w:trPr>
          <w:cantSplit/>
        </w:trPr>
        <w:tc>
          <w:tcPr>
            <w:tcW w:type="dxa" w:w="1620"/>
            <w:vAlign w:val="center"/>
          </w:tcPr>
          <w:p>
            <w:pPr>
              <w:pStyle w:val="TableText"/>
            </w:pPr>
            <w:r>
              <w:t>设备健康</w:t>
            </w:r>
          </w:p>
        </w:tc>
        <w:tc>
          <w:tcPr>
            <w:tcW w:type="dxa" w:w="2520"/>
            <w:vAlign w:val="center"/>
          </w:tcPr>
          <w:p>
            <w:pPr>
              <w:pStyle w:val="TableText"/>
            </w:pPr>
            <w:r>
              <w:t>在线、最后更新时间、错误原因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软件检测状态，外接设备未接入时标明</w:t>
            </w:r>
          </w:p>
        </w:tc>
        <w:tc>
          <w:tcPr>
            <w:tcW w:type="dxa" w:w="2820"/>
            <w:vAlign w:val="center"/>
          </w:tcPr>
          <w:p>
            <w:pPr>
              <w:pStyle w:val="TableText"/>
            </w:pPr>
            <w:r>
              <w:t>产生设备故障事件，不能继续报告监测正常</w:t>
            </w:r>
          </w:p>
        </w:tc>
      </w:tr>
    </w:tbl>
    <w:p>
      <w:pPr>
        <w:pStyle w:val="TableSpacer"/>
      </w:pPr>
    </w:p>
    <w:p>
      <w:pPr/>
      <w:r>
        <w:t>普通电脑摄像头不能直接测得室内温湿度、烟雾浓度或燃气浓度。没有测量来源时，不展示伪造的 ppm、温度或真实报警器在线状态。</w:t>
      </w:r>
    </w:p>
    <w:p>
      <w:pPr/>
      <w:r>
        <w:t>温湿度范围与持续时间是原型演示配置，不宣称是医学安全阈值。一般舒适度偏离不直接进入限制或紧急求助。</w:t>
      </w:r>
    </w:p>
    <w:p>
      <w:pPr/>
      <w:r>
        <w:t>烟雾报警是独立高优先级输入，不能被“画面没有烟”或“人物已离开”否定。原型不得承担真实消防报警职责，也不得延迟或关闭独立报警器。USFA 强调烟雾报警后的逃生时间可能很短，因此本方案不采用强制逐级等待。</w:t>
      </w:r>
      <w:hyperlink r:id="rId12">
        <w:r>
          <w:rPr>
            <w:color w:val="2E74B5"/>
            <w:u w:val="single"/>
          </w:rPr>
          <w:t>USFA 烟雾报警说明</w:t>
        </w:r>
      </w:hyperlink>
    </w:p>
    <w:p>
      <w:pPr>
        <w:pStyle w:val="Heading1"/>
        <w:numPr>
          <w:ilvl w:val="0"/>
          <w:numId w:val="11"/>
        </w:numPr>
      </w:pPr>
      <w:r>
        <w:t>个体能力档案</w:t>
      </w:r>
    </w:p>
    <w:p>
      <w:pPr/>
      <w:r>
        <w:t>采用演示代号和可编辑能力预设，不由摄像头推断认知症程度。</w:t>
      </w:r>
    </w:p>
    <w:p>
      <w:pPr>
        <w:pStyle w:val="BulletItem"/>
        <w:numPr>
          <w:ilvl w:val="0"/>
          <w:numId w:val="10"/>
        </w:numPr>
      </w:pPr>
      <w:r>
        <w:t>是否理解简短语音：可理解 / 需配合视觉 / 未知。</w:t>
      </w:r>
    </w:p>
    <w:p>
      <w:pPr>
        <w:pStyle w:val="BulletItem"/>
        <w:numPr>
          <w:ilvl w:val="0"/>
          <w:numId w:val="10"/>
        </w:numPr>
      </w:pPr>
      <w:r>
        <w:t>是否需要视觉引导：需要 / 不需要 / 未知。</w:t>
      </w:r>
    </w:p>
    <w:p>
      <w:pPr>
        <w:pStyle w:val="BulletItem"/>
        <w:numPr>
          <w:ilvl w:val="0"/>
          <w:numId w:val="10"/>
        </w:numPr>
      </w:pPr>
      <w:r>
        <w:t>是否能完成约定手势、点击回应或主动求助。</w:t>
      </w:r>
    </w:p>
    <w:p>
      <w:pPr>
        <w:pStyle w:val="BulletItem"/>
        <w:numPr>
          <w:ilvl w:val="0"/>
          <w:numId w:val="10"/>
        </w:numPr>
      </w:pPr>
      <w:r>
        <w:t>行动支持需求、提醒偏好、熟悉区域及预设活动时间。</w:t>
      </w:r>
    </w:p>
    <w:p>
      <w:pPr>
        <w:pStyle w:val="BulletItem"/>
        <w:numPr>
          <w:ilvl w:val="0"/>
          <w:numId w:val="10"/>
        </w:numPr>
      </w:pPr>
      <w:r>
        <w:t>信息来源与更新时间。</w:t>
      </w:r>
    </w:p>
    <w:p>
      <w:pPr/>
      <w:r>
        <w:t>能力只影响支持方式与可选动作，不改变已观测事实；不能因为“能力较强”忽略烟雾报警，不能把拒绝提示等同于无法理解或无行为能力。</w:t>
      </w:r>
    </w:p>
    <w:p>
      <w:pPr>
        <w:pStyle w:val="Heading1"/>
        <w:numPr>
          <w:ilvl w:val="0"/>
          <w:numId w:val="11"/>
        </w:numPr>
      </w:pPr>
      <w:r>
        <w:t>风险分级与干预选择分开</w:t>
      </w:r>
    </w:p>
    <w:p>
      <w:pPr/>
      <w:r>
        <w:t>保留 L0—L4：L0 当前有效观测中未见目标异常、L1 关注、L2 需提醒、L3 高度关注、L4 紧急事件。等级是原型策略标签，不是医学诊断或发生危险的概率。</w:t>
      </w:r>
    </w:p>
    <w:p>
      <w:pPr/>
      <w:r>
        <w:t>输入无效时标为 UNKNOWN，不能归为 L0。已经存在的事件也不能因输入断开而自动消失。</w:t>
      </w:r>
    </w:p>
    <w:p>
      <w:pPr/>
      <w:r>
        <w:t>风险来自事件类型、持续证据、环境状态、历史变化与人工确认。不把六个任意权重的加权分数作为判断核心。保留可配置的场景条件、演示阈值及版本记录。</w:t>
      </w:r>
    </w:p>
    <w:p>
      <w:pPr/>
      <w:r>
        <w:t>候选干预综合考虑：</w:t>
      </w:r>
    </w:p>
    <w:p>
      <w:pPr>
        <w:pStyle w:val="Callout"/>
        <w:shd w:fill="F4F6F9" w:val="clear"/>
      </w:pPr>
      <w:r>
        <w:rPr>
          <w:rStyle w:val="InlineCode"/>
        </w:rPr>
        <w:t>事件与风险等级 + 个体支持需求 + 患者反馈 + 上一次干预及结果 + 数据有效性 + 可用执行能力</w:t>
      </w:r>
    </w:p>
    <w:p>
      <w:pPr/>
      <w:r>
        <w:t>同一 L2 区域停留事件：理解简短语音的人可先 I1；需要视觉支持的人可直接 I2。该例是交互策略，不是临床处置标准。</w:t>
      </w:r>
    </w:p>
    <w:p>
      <w:pPr/>
      <w:r>
        <w:t>“提醒未得到回应”可以增加支持强度，不必自动提升风险等级。没有新危险证据时，不能为了让界面升级而编造更高风险。</w:t>
      </w:r>
    </w:p>
    <w:p>
      <w:pPr>
        <w:pStyle w:val="Heading1"/>
        <w:numPr>
          <w:ilvl w:val="0"/>
          <w:numId w:val="11"/>
        </w:numPr>
      </w:pPr>
      <w:r>
        <w:t>渐进式干预决策引擎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CD5DF"/>
          <w:bottom w:val="single" w:sz="4" w:color="CCD5DF"/>
          <w:left w:val="single" w:sz="4" w:color="CCD5DF"/>
          <w:right w:val="single" w:sz="4" w:color="CCD5DF"/>
          <w:insideH w:val="single" w:sz="4" w:color="CCD5DF"/>
          <w:insideV w:val="single" w:sz="4" w:color="CCD5DF"/>
        </w:tblBorders>
      </w:tblPr>
      <w:tblGrid>
        <w:gridCol w:w="1380"/>
        <w:gridCol w:w="1440"/>
        <w:gridCol w:w="3270"/>
        <w:gridCol w:w="3270"/>
      </w:tblGrid>
      <w:tr>
        <w:trPr>
          <w:cantSplit/>
          <w:tblHeader/>
        </w:trPr>
        <w:tc>
          <w:tcPr>
            <w:tcW w:type="dxa" w:w="138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标识</w:t>
            </w:r>
          </w:p>
        </w:tc>
        <w:tc>
          <w:tcPr>
            <w:tcW w:type="dxa" w:w="144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含义</w:t>
            </w:r>
          </w:p>
        </w:tc>
        <w:tc>
          <w:tcPr>
            <w:tcW w:type="dxa" w:w="327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当前网页能真实执行的内容</w:t>
            </w:r>
          </w:p>
        </w:tc>
        <w:tc>
          <w:tcPr>
            <w:tcW w:type="dxa" w:w="327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不能声称已经执行的内容</w:t>
            </w:r>
          </w:p>
        </w:tc>
      </w:tr>
      <w:tr>
        <w:trPr>
          <w:cantSplit/>
        </w:trPr>
        <w:tc>
          <w:tcPr>
            <w:tcW w:type="dxa" w:w="1380"/>
            <w:vAlign w:val="center"/>
          </w:tcPr>
          <w:p>
            <w:pPr>
              <w:pStyle w:val="TableText"/>
            </w:pPr>
            <w:r>
              <w:t>I0 Observe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观察</w:t>
            </w:r>
          </w:p>
        </w:tc>
        <w:tc>
          <w:tcPr>
            <w:tcW w:type="dxa" w:w="3270"/>
            <w:vAlign w:val="center"/>
          </w:tcPr>
          <w:p>
            <w:pPr>
              <w:pStyle w:val="TableText"/>
            </w:pPr>
            <w:r>
              <w:t>持续监测、记录事件，不主动打扰</w:t>
            </w:r>
          </w:p>
        </w:tc>
        <w:tc>
          <w:tcPr>
            <w:tcW w:type="dxa" w:w="3270"/>
            <w:vAlign w:val="center"/>
          </w:tcPr>
          <w:p>
            <w:pPr>
              <w:pStyle w:val="TableText"/>
            </w:pPr>
            <w:r>
              <w:t>无</w:t>
            </w:r>
          </w:p>
        </w:tc>
      </w:tr>
      <w:tr>
        <w:trPr>
          <w:cantSplit/>
        </w:trPr>
        <w:tc>
          <w:tcPr>
            <w:tcW w:type="dxa" w:w="1380"/>
            <w:vAlign w:val="center"/>
          </w:tcPr>
          <w:p>
            <w:pPr>
              <w:pStyle w:val="TableText"/>
            </w:pPr>
            <w:r>
              <w:t>I1 Remind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提醒</w:t>
            </w:r>
          </w:p>
        </w:tc>
        <w:tc>
          <w:tcPr>
            <w:tcW w:type="dxa" w:w="3270"/>
            <w:vAlign w:val="center"/>
          </w:tcPr>
          <w:p>
            <w:pPr>
              <w:pStyle w:val="TableText"/>
            </w:pPr>
            <w:r>
              <w:t>简短文字、提示音、可用时播放本地语音</w:t>
            </w:r>
          </w:p>
        </w:tc>
        <w:tc>
          <w:tcPr>
            <w:tcW w:type="dxa" w:w="3270"/>
            <w:vAlign w:val="center"/>
          </w:tcPr>
          <w:p>
            <w:pPr>
              <w:pStyle w:val="TableText"/>
            </w:pPr>
            <w:r>
              <w:t>未播放成功不能记为已提醒；不假定用户已听见</w:t>
            </w:r>
          </w:p>
        </w:tc>
      </w:tr>
      <w:tr>
        <w:trPr>
          <w:cantSplit/>
        </w:trPr>
        <w:tc>
          <w:tcPr>
            <w:tcW w:type="dxa" w:w="1380"/>
            <w:vAlign w:val="center"/>
          </w:tcPr>
          <w:p>
            <w:pPr>
              <w:pStyle w:val="TableText"/>
            </w:pPr>
            <w:r>
              <w:t>I2 Guide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引导</w:t>
            </w:r>
          </w:p>
        </w:tc>
        <w:tc>
          <w:tcPr>
            <w:tcW w:type="dxa" w:w="3270"/>
            <w:vAlign w:val="center"/>
          </w:tcPr>
          <w:p>
            <w:pPr>
              <w:pStyle w:val="TableText"/>
            </w:pPr>
            <w:r>
              <w:t>分步骤文字、较大图示、经人工预设的方向提示</w:t>
            </w:r>
          </w:p>
        </w:tc>
        <w:tc>
          <w:tcPr>
            <w:tcW w:type="dxa" w:w="3270"/>
            <w:vAlign w:val="center"/>
          </w:tcPr>
          <w:p>
            <w:pPr>
              <w:pStyle w:val="TableText"/>
            </w:pPr>
            <w:r>
              <w:t>不宣称生成了安全逃生路线；产品靠近、实体灯光均未执行</w:t>
            </w:r>
          </w:p>
        </w:tc>
      </w:tr>
      <w:tr>
        <w:trPr>
          <w:cantSplit/>
        </w:trPr>
        <w:tc>
          <w:tcPr>
            <w:tcW w:type="dxa" w:w="1380"/>
            <w:vAlign w:val="center"/>
          </w:tcPr>
          <w:p>
            <w:pPr>
              <w:pStyle w:val="TableText"/>
            </w:pPr>
            <w:r>
              <w:t>I3 Restrict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限制/保护动作请求</w:t>
            </w:r>
          </w:p>
        </w:tc>
        <w:tc>
          <w:tcPr>
            <w:tcW w:type="dxa" w:w="3270"/>
            <w:vAlign w:val="center"/>
          </w:tcPr>
          <w:p>
            <w:pPr>
              <w:pStyle w:val="TableText"/>
            </w:pPr>
            <w:r>
              <w:t>展示限制建议、模拟动作和执行能力状态</w:t>
            </w:r>
          </w:p>
        </w:tc>
        <w:tc>
          <w:tcPr>
            <w:tcW w:type="dxa" w:w="3270"/>
            <w:vAlign w:val="center"/>
          </w:tcPr>
          <w:p>
            <w:pPr>
              <w:pStyle w:val="TableText"/>
            </w:pPr>
            <w:r>
              <w:t>不宣称已关火、锁门、阻止患者或控制设备</w:t>
            </w:r>
          </w:p>
        </w:tc>
      </w:tr>
      <w:tr>
        <w:trPr>
          <w:cantSplit/>
        </w:trPr>
        <w:tc>
          <w:tcPr>
            <w:tcW w:type="dxa" w:w="1380"/>
            <w:vAlign w:val="center"/>
          </w:tcPr>
          <w:p>
            <w:pPr>
              <w:pStyle w:val="TableText"/>
            </w:pPr>
            <w:r>
              <w:t>I4 Help</w:t>
            </w:r>
          </w:p>
        </w:tc>
        <w:tc>
          <w:tcPr>
            <w:tcW w:type="dxa" w:w="1440"/>
            <w:vAlign w:val="center"/>
          </w:tcPr>
          <w:p>
            <w:pPr>
              <w:pStyle w:val="TableText"/>
            </w:pPr>
            <w:r>
              <w:t>求助</w:t>
            </w:r>
          </w:p>
        </w:tc>
        <w:tc>
          <w:tcPr>
            <w:tcW w:type="dxa" w:w="3270"/>
            <w:vAlign w:val="center"/>
          </w:tcPr>
          <w:p>
            <w:pPr>
              <w:pStyle w:val="TableText"/>
            </w:pPr>
            <w:r>
              <w:t>创建网页内的照护者待处理事件、突出警报、记录人工接手</w:t>
            </w:r>
          </w:p>
        </w:tc>
        <w:tc>
          <w:tcPr>
            <w:tcW w:type="dxa" w:w="3270"/>
            <w:vAlign w:val="center"/>
          </w:tcPr>
          <w:p>
            <w:pPr>
              <w:pStyle w:val="TableText"/>
            </w:pPr>
            <w:r>
              <w:t>不宣称手机已收到、家属已联系或紧急服务已呼叫</w:t>
            </w:r>
          </w:p>
        </w:tc>
      </w:tr>
    </w:tbl>
    <w:p>
      <w:pPr>
        <w:pStyle w:val="TableSpacer"/>
      </w:pPr>
    </w:p>
    <w:p>
      <w:pPr/>
      <w:r>
        <w:t>I0—I4 保留为干预类别与展示标识，不是必须按顺序走完的阶梯。求助可以在提醒或引导的同时发生，I3 不是 I4 的前置条件。</w:t>
      </w:r>
    </w:p>
    <w:p>
      <w:pPr/>
      <w:r>
        <w:t>紧急事件允许直接触发 I4，并呈现适当的预设提示；不能先等待多轮提醒或限制动作。任何保护动作都不得妨碍逃生。原型不实施实际限制措施。</w:t>
      </w:r>
    </w:p>
    <w:p>
      <w:pPr/>
      <w:r>
        <w:t>动作记录包含 action_type、requested_at、状态和结果。状态区分：requested / executed / simulated / failed / unavailable。未接执行器的动作只能标为 simulated 或 unavailable。</w:t>
      </w:r>
    </w:p>
    <w:p>
      <w:pPr>
        <w:pStyle w:val="Heading1"/>
        <w:numPr>
          <w:ilvl w:val="0"/>
          <w:numId w:val="11"/>
        </w:numPr>
      </w:pPr>
      <w:r>
        <w:t>患者反馈闭环</w:t>
      </w:r>
    </w:p>
    <w:p>
      <w:pPr/>
      <w:r>
        <w:t>允许的反馈包括：观测到行为改变、人工确认已回应、请求帮助、明确拒绝、未收到反馈、无法判断。患者本人输入与演示者代填须区分。</w:t>
      </w:r>
    </w:p>
    <w:p>
      <w:pPr/>
      <w:r>
        <w:t>摄像头可支持判断是否退出指定区域、姿态是否变化或是否完成约定手势；不能直接确认患者听懂、拒绝或无意识。没有语音识别能力时，不假装识别了口头回应。</w:t>
      </w:r>
    </w:p>
    <w:p>
      <w:pPr/>
      <w:r>
        <w:t>普通事件示例：</w:t>
      </w:r>
    </w:p>
    <w:p>
      <w:pPr>
        <w:pStyle w:val="NumberItem"/>
        <w:numPr>
          <w:ilvl w:val="0"/>
          <w:numId w:val="12"/>
        </w:numPr>
      </w:pPr>
      <w:r>
        <w:t>持续停留满足演示条件，产生 L2 事件。</w:t>
      </w:r>
    </w:p>
    <w:p>
      <w:pPr>
        <w:pStyle w:val="NumberItem"/>
        <w:numPr>
          <w:ilvl w:val="0"/>
          <w:numId w:val="12"/>
        </w:numPr>
      </w:pPr>
      <w:r>
        <w:t>根据能力档案选择 I1 或 I2，记录实际执行状态。</w:t>
      </w:r>
    </w:p>
    <w:p>
      <w:pPr>
        <w:pStyle w:val="NumberItem"/>
        <w:numPr>
          <w:ilvl w:val="0"/>
          <w:numId w:val="12"/>
        </w:numPr>
      </w:pPr>
      <w:r>
        <w:t>进入等待反馈，继续观察。</w:t>
      </w:r>
    </w:p>
    <w:p>
      <w:pPr>
        <w:pStyle w:val="NumberItem"/>
        <w:numPr>
          <w:ilvl w:val="0"/>
          <w:numId w:val="12"/>
        </w:numPr>
      </w:pPr>
      <w:r>
        <w:t>退出区域且证据稳定：进入 RECOVERING，随后关闭该普通事件。</w:t>
      </w:r>
    </w:p>
    <w:p>
      <w:pPr>
        <w:pStyle w:val="NumberItem"/>
        <w:numPr>
          <w:ilvl w:val="0"/>
          <w:numId w:val="12"/>
        </w:numPr>
      </w:pPr>
      <w:r>
        <w:t>未收到反馈但画面有效：重新评估，可能增加引导或生成照护者待处理请求。</w:t>
      </w:r>
    </w:p>
    <w:p>
      <w:pPr>
        <w:pStyle w:val="NumberItem"/>
        <w:numPr>
          <w:ilvl w:val="0"/>
          <w:numId w:val="12"/>
        </w:numPr>
      </w:pPr>
      <w:r>
        <w:t>遮挡或输入无效：保留事件并显示无法判断，不当作成功或拒绝。</w:t>
      </w:r>
    </w:p>
    <w:p>
      <w:pPr/>
      <w:r>
        <w:t>风险下降必须有相应证据。烟雾报警未解除时，人物离开不消除环境事件；疑似跌倒后恢复站立不自动判定安全。关闭提示音、确认接手、标记误报、结束事件分别记录。</w:t>
      </w:r>
    </w:p>
    <w:p>
      <w:pPr>
        <w:pStyle w:val="Heading1"/>
        <w:numPr>
          <w:ilvl w:val="0"/>
          <w:numId w:val="11"/>
        </w:numPr>
      </w:pPr>
      <w:r>
        <w:t>有限状态机</w:t>
      </w:r>
    </w:p>
    <w:p>
      <w:pPr/>
      <w:r>
        <w:t>保留有限状态机，但避免把风险等级、事件阶段和干预等级存成相互竞争的三套高低状态。</w:t>
      </w:r>
    </w:p>
    <w:p>
      <w:pPr/>
      <w:r>
        <w:t>建议采用：</w:t>
      </w:r>
    </w:p>
    <w:p>
      <w:pPr>
        <w:pStyle w:val="BulletItem"/>
        <w:numPr>
          <w:ilvl w:val="0"/>
          <w:numId w:val="10"/>
        </w:numPr>
      </w:pPr>
      <w:r>
        <w:rPr>
          <w:rStyle w:val="InlineCode"/>
        </w:rPr>
        <w:t>risk_level</w:t>
      </w:r>
      <w:r>
        <w:t>：L0—L4 或 UNKNOWN，表达当前事件风险判断。</w:t>
      </w:r>
    </w:p>
    <w:p>
      <w:pPr>
        <w:pStyle w:val="BulletItem"/>
        <w:numPr>
          <w:ilvl w:val="0"/>
          <w:numId w:val="10"/>
        </w:numPr>
      </w:pPr>
      <w:r>
        <w:rPr>
          <w:rStyle w:val="InlineCode"/>
        </w:rPr>
        <w:t>event_state</w:t>
      </w:r>
      <w:r>
        <w:t>：MONITORING / CONFIRMING / INTERVENING / WAITING_RESPONSE / ESCALATED / RECOVERING / CLOSED。</w:t>
      </w:r>
    </w:p>
    <w:p>
      <w:pPr>
        <w:pStyle w:val="BulletItem"/>
        <w:numPr>
          <w:ilvl w:val="0"/>
          <w:numId w:val="10"/>
        </w:numPr>
      </w:pPr>
      <w:r>
        <w:rPr>
          <w:rStyle w:val="InlineCode"/>
        </w:rPr>
        <w:t>interventions</w:t>
      </w:r>
      <w:r>
        <w:t>：当前选中或执行的 I0—I4 动作集合。</w:t>
      </w:r>
    </w:p>
    <w:p>
      <w:pPr>
        <w:pStyle w:val="BulletItem"/>
        <w:numPr>
          <w:ilvl w:val="0"/>
          <w:numId w:val="10"/>
        </w:numPr>
      </w:pPr>
      <w:r>
        <w:rPr>
          <w:rStyle w:val="InlineCode"/>
        </w:rPr>
        <w:t>observation_status</w:t>
      </w:r>
      <w:r>
        <w:t>：VALID / DEGRADED / UNKNOWN。</w:t>
      </w:r>
    </w:p>
    <w:p>
      <w:pPr>
        <w:pStyle w:val="BulletItem"/>
        <w:numPr>
          <w:ilvl w:val="0"/>
          <w:numId w:val="10"/>
        </w:numPr>
      </w:pPr>
      <w:r>
        <w:rPr>
          <w:rStyle w:val="InlineCode"/>
        </w:rPr>
        <w:t>ack_status</w:t>
      </w:r>
      <w:r>
        <w:t>：UNACKNOWLEDGED / ACKNOWLEDGED，表达是否有人接手。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CD5DF"/>
          <w:bottom w:val="single" w:sz="4" w:color="CCD5DF"/>
          <w:left w:val="single" w:sz="4" w:color="CCD5DF"/>
          <w:right w:val="single" w:sz="4" w:color="CCD5DF"/>
          <w:insideH w:val="single" w:sz="4" w:color="CCD5DF"/>
          <w:insideV w:val="single" w:sz="4" w:color="CCD5DF"/>
        </w:tblBorders>
      </w:tblPr>
      <w:tblGrid>
        <w:gridCol w:w="2160"/>
        <w:gridCol w:w="2160"/>
        <w:gridCol w:w="2400"/>
        <w:gridCol w:w="2640"/>
      </w:tblGrid>
      <w:tr>
        <w:trPr>
          <w:cantSplit/>
          <w:tblHeader/>
        </w:trPr>
        <w:tc>
          <w:tcPr>
            <w:tcW w:type="dxa" w:w="216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当前阶段</w:t>
            </w:r>
          </w:p>
        </w:tc>
        <w:tc>
          <w:tcPr>
            <w:tcW w:type="dxa" w:w="216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事件条件</w:t>
            </w:r>
          </w:p>
        </w:tc>
        <w:tc>
          <w:tcPr>
            <w:tcW w:type="dxa" w:w="240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下一阶段</w:t>
            </w:r>
          </w:p>
        </w:tc>
        <w:tc>
          <w:tcPr>
            <w:tcW w:type="dxa" w:w="2640"/>
            <w:vAlign w:val="center"/>
            <w:shd w:fill="E8EEF5" w:val="clear"/>
          </w:tcPr>
          <w:p>
            <w:pPr>
              <w:pStyle w:val="TableHeader"/>
              <w:keepNext/>
            </w:pPr>
            <w:r>
              <w:t>主要动作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pStyle w:val="TableText"/>
            </w:pPr>
            <w:r>
              <w:t>MONITORING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t>出现待确认的普通异常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CONFIRMING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收集连续证据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pStyle w:val="TableText"/>
            </w:pPr>
            <w:r>
              <w:t>CONFIRMING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t>满足场景条件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INTERVENING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选择并尝试执行干预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pStyle w:val="TableText"/>
            </w:pPr>
            <w:r>
              <w:t>INTERVENING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t>提醒/引导成功呈现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WAITING_RESPONSE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记录反馈窗口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pStyle w:val="TableText"/>
            </w:pPr>
            <w:r>
              <w:t>INTERVENING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t>动作失败或不可用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ESCALATED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显示失败并选择可用后续动作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pStyle w:val="TableText"/>
            </w:pPr>
            <w:r>
              <w:t>WAITING_RESPONSE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t>收到有效改变证据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RECOVERING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观察是否稳定解除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pStyle w:val="TableText"/>
            </w:pPr>
            <w:r>
              <w:t>WAITING_RESPONSE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t>超过演示反馈窗口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INTERVENING 或 ESCALATED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依据证据与历史重新选择，不机械加一级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pStyle w:val="TableText"/>
            </w:pPr>
            <w:r>
              <w:t>任一未关闭阶段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t>紧急输入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ESCALATED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立即生成高优先级求助事件，允许并行提示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pStyle w:val="TableText"/>
            </w:pPr>
            <w:r>
              <w:t>RECOVERING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t>普通事件稳定解除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CLOSED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结束该事件并继续监测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pStyle w:val="TableText"/>
            </w:pPr>
            <w:r>
              <w:t>RECOVERING</w:t>
            </w:r>
          </w:p>
        </w:tc>
        <w:tc>
          <w:tcPr>
            <w:tcW w:type="dxa" w:w="2160"/>
            <w:vAlign w:val="center"/>
          </w:tcPr>
          <w:p>
            <w:pPr>
              <w:pStyle w:val="TableText"/>
            </w:pPr>
            <w:r>
              <w:t>异常再次出现</w:t>
            </w:r>
          </w:p>
        </w:tc>
        <w:tc>
          <w:tcPr>
            <w:tcW w:type="dxa" w:w="2400"/>
            <w:vAlign w:val="center"/>
          </w:tcPr>
          <w:p>
            <w:pPr>
              <w:pStyle w:val="TableText"/>
            </w:pPr>
            <w:r>
              <w:t>CONFIRMING 或 ESCALATED</w:t>
            </w:r>
          </w:p>
        </w:tc>
        <w:tc>
          <w:tcPr>
            <w:tcW w:type="dxa" w:w="2640"/>
            <w:vAlign w:val="center"/>
          </w:tcPr>
          <w:p>
            <w:pPr>
              <w:pStyle w:val="TableText"/>
            </w:pPr>
            <w:r>
              <w:t>按新证据重新判断</w:t>
            </w:r>
          </w:p>
        </w:tc>
      </w:tr>
    </w:tbl>
    <w:p>
      <w:pPr>
        <w:pStyle w:val="TableSpacer"/>
      </w:pPr>
    </w:p>
    <w:p>
      <w:pPr/>
      <w:r>
        <w:t>数据质量下降是独立状态，不直接触发 CLOSED。紧急事件由明确的关闭条件与人工处理流程结束。</w:t>
      </w:r>
    </w:p>
    <w:p>
      <w:pPr/>
      <w:r>
        <w:t>原计划中的 SAFE、LOW_RISK、MEDIUM_RISK、HIGH_RISK、EMERGENCY 可以作为风险派生显示标签，不另存一套容易冲突的状态。SAFE 的页面文案使用“当前未见目标异常”，避免作绝对安全承诺。</w:t>
      </w:r>
    </w:p>
    <w:p>
      <w:pPr>
        <w:pStyle w:val="Heading1"/>
        <w:numPr>
          <w:ilvl w:val="0"/>
          <w:numId w:val="11"/>
        </w:numPr>
      </w:pPr>
      <w:r>
        <w:t>多事件与报警管理</w:t>
      </w:r>
    </w:p>
    <w:p>
      <w:pPr>
        <w:pStyle w:val="BulletItem"/>
        <w:numPr>
          <w:ilvl w:val="0"/>
          <w:numId w:val="10"/>
        </w:numPr>
      </w:pPr>
      <w:r>
        <w:t>每个事件独立记录类型、对象/区域、来源、风险、干预、反馈、状态与理由。</w:t>
      </w:r>
    </w:p>
    <w:p>
      <w:pPr>
        <w:pStyle w:val="BulletItem"/>
        <w:numPr>
          <w:ilvl w:val="0"/>
          <w:numId w:val="10"/>
        </w:numPr>
      </w:pPr>
      <w:r>
        <w:t>多事件同时存在时优先展示最高紧急程度，不能取平均值稀释烟雾等紧急输入。</w:t>
      </w:r>
    </w:p>
    <w:p>
      <w:pPr>
        <w:pStyle w:val="BulletItem"/>
        <w:numPr>
          <w:ilvl w:val="0"/>
          <w:numId w:val="10"/>
        </w:numPr>
      </w:pPr>
      <w:r>
        <w:t>同一次持续异常合并更新；提醒有节流和上限，避免按视频帧重复报警。</w:t>
      </w:r>
    </w:p>
    <w:p>
      <w:pPr>
        <w:pStyle w:val="BulletItem"/>
        <w:numPr>
          <w:ilvl w:val="0"/>
          <w:numId w:val="10"/>
        </w:numPr>
      </w:pPr>
      <w:r>
        <w:t>重复帧或重复消息不能重复执行同一动作；新一次事件或严重度变化可以重新通知。</w:t>
      </w:r>
    </w:p>
    <w:p>
      <w:pPr>
        <w:pStyle w:val="BulletItem"/>
        <w:numPr>
          <w:ilvl w:val="0"/>
          <w:numId w:val="10"/>
        </w:numPr>
      </w:pPr>
      <w:r>
        <w:t>一般提醒允许适度观察与确认；不能把等待机制用于阻塞紧急求助。</w:t>
      </w:r>
    </w:p>
    <w:p>
      <w:pPr>
        <w:pStyle w:val="BulletItem"/>
        <w:numPr>
          <w:ilvl w:val="0"/>
          <w:numId w:val="10"/>
        </w:numPr>
      </w:pPr>
      <w:r>
        <w:t>一条普通事件解除，不清空其他未解决事件。</w:t>
      </w:r>
    </w:p>
    <w:p>
      <w:pPr>
        <w:pStyle w:val="BulletItem"/>
        <w:numPr>
          <w:ilvl w:val="0"/>
          <w:numId w:val="10"/>
        </w:numPr>
      </w:pPr>
      <w:r>
        <w:t>演示时间与真实时间明确区分；视频回放使用视频时间，实时计时使用可靠时钟，不以处理帧数代替秒数。</w:t>
      </w:r>
    </w:p>
    <w:p>
      <w:pPr>
        <w:pStyle w:val="Heading1"/>
        <w:numPr>
          <w:ilvl w:val="0"/>
          <w:numId w:val="11"/>
        </w:numPr>
      </w:pPr>
      <w:r>
        <w:t>网页组成</w:t>
      </w:r>
    </w:p>
    <w:p>
      <w:pPr>
        <w:pStyle w:val="NumberItem"/>
        <w:numPr>
          <w:ilvl w:val="0"/>
          <w:numId w:val="13"/>
        </w:numPr>
      </w:pPr>
      <w:r>
        <w:t>实时监测：画面、骨架、区域、跟踪与识别有效性。</w:t>
      </w:r>
    </w:p>
    <w:p>
      <w:pPr>
        <w:pStyle w:val="NumberItem"/>
        <w:numPr>
          <w:ilvl w:val="0"/>
          <w:numId w:val="13"/>
        </w:numPr>
      </w:pPr>
      <w:r>
        <w:t>环境状态：温度、湿度、烟雾、可选燃气/门磁；始终展示来源和更新时间。</w:t>
      </w:r>
    </w:p>
    <w:p>
      <w:pPr>
        <w:pStyle w:val="NumberItem"/>
        <w:numPr>
          <w:ilvl w:val="0"/>
          <w:numId w:val="13"/>
        </w:numPr>
      </w:pPr>
      <w:r>
        <w:t>风险与证据：各事件 L 等级、满足/未满足的条件、缺失信息。</w:t>
      </w:r>
    </w:p>
    <w:p>
      <w:pPr>
        <w:pStyle w:val="NumberItem"/>
        <w:numPr>
          <w:ilvl w:val="0"/>
          <w:numId w:val="13"/>
        </w:numPr>
      </w:pPr>
      <w:r>
        <w:t>当前干预：I 类型、选择理由、执行状态、上一动作及结果。</w:t>
      </w:r>
    </w:p>
    <w:p>
      <w:pPr>
        <w:pStyle w:val="NumberItem"/>
        <w:numPr>
          <w:ilvl w:val="0"/>
          <w:numId w:val="13"/>
        </w:numPr>
      </w:pPr>
      <w:r>
        <w:t>患者/照护者交互：回应、求助、接手、误报、结束处理。</w:t>
      </w:r>
    </w:p>
    <w:p>
      <w:pPr>
        <w:pStyle w:val="NumberItem"/>
        <w:numPr>
          <w:ilvl w:val="0"/>
          <w:numId w:val="13"/>
        </w:numPr>
      </w:pPr>
      <w:r>
        <w:t>决策时间线：观察、触发、干预、反馈、升级、恢复，附状态变化。</w:t>
      </w:r>
    </w:p>
    <w:p>
      <w:pPr>
        <w:pStyle w:val="NumberItem"/>
        <w:numPr>
          <w:ilvl w:val="0"/>
          <w:numId w:val="13"/>
        </w:numPr>
      </w:pPr>
      <w:r>
        <w:t>档案与演示面板：能力预设、区域配置、模拟传感器控制、阈值及版本。</w:t>
      </w:r>
    </w:p>
    <w:p>
      <w:pPr/>
      <w:r>
        <w:t>开始监测时主动启用声音；浏览器拒绝播放时显示失败，不能只写入成功日志。摄像头仅在授权后启用；默认本地处理，不默认保存或上传原始视频。隐藏原始画面的“骨架显示模式”不等于没有采集图像。</w:t>
      </w:r>
    </w:p>
    <w:p>
      <w:pPr>
        <w:pStyle w:val="Heading1"/>
        <w:numPr>
          <w:ilvl w:val="0"/>
          <w:numId w:val="11"/>
        </w:numPr>
      </w:pPr>
      <w:r>
        <w:t>验收案例</w:t>
      </w:r>
    </w:p>
    <w:p>
      <w:pPr/>
      <w:r>
        <w:t>至少覆盖以下结果，而不是只检查页面控件是否存在：</w:t>
      </w:r>
    </w:p>
    <w:p>
      <w:pPr>
        <w:pStyle w:val="NumberItem"/>
        <w:numPr>
          <w:ilvl w:val="0"/>
          <w:numId w:val="14"/>
        </w:numPr>
      </w:pPr>
      <w:r>
        <w:t>正常经过不产生持续提醒；停留达到演示条件后才触发普通事件。</w:t>
      </w:r>
    </w:p>
    <w:p>
      <w:pPr>
        <w:pStyle w:val="NumberItem"/>
        <w:numPr>
          <w:ilvl w:val="0"/>
          <w:numId w:val="14"/>
        </w:numPr>
      </w:pPr>
      <w:r>
        <w:t>同一风险、不同能力档案产生不同支持方式，并展示理由。</w:t>
      </w:r>
    </w:p>
    <w:p>
      <w:pPr>
        <w:pStyle w:val="NumberItem"/>
        <w:numPr>
          <w:ilvl w:val="0"/>
          <w:numId w:val="14"/>
        </w:numPr>
      </w:pPr>
      <w:r>
        <w:t>提醒后离开普通关注区域，经过稳定确认后结束该事件。</w:t>
      </w:r>
    </w:p>
    <w:p>
      <w:pPr>
        <w:pStyle w:val="NumberItem"/>
        <w:numPr>
          <w:ilvl w:val="0"/>
          <w:numId w:val="14"/>
        </w:numPr>
      </w:pPr>
      <w:r>
        <w:t>没有回应时重新评估；拒绝不自动触发强制限制。</w:t>
      </w:r>
    </w:p>
    <w:p>
      <w:pPr>
        <w:pStyle w:val="NumberItem"/>
        <w:numPr>
          <w:ilvl w:val="0"/>
          <w:numId w:val="14"/>
        </w:numPr>
      </w:pPr>
      <w:r>
        <w:t>摄像头遮挡、断开或跟踪丢失不会自动解除事件。</w:t>
      </w:r>
    </w:p>
    <w:p>
      <w:pPr>
        <w:pStyle w:val="NumberItem"/>
        <w:numPr>
          <w:ilvl w:val="0"/>
          <w:numId w:val="14"/>
        </w:numPr>
      </w:pPr>
      <w:r>
        <w:t>疑似跌倒测试同时覆盖弯腰、坐下、蹲下与主动躺下等反例，记录漏报、误报和检测延迟，不只展示成功片段。</w:t>
      </w:r>
    </w:p>
    <w:p>
      <w:pPr>
        <w:pStyle w:val="NumberItem"/>
        <w:numPr>
          <w:ilvl w:val="0"/>
          <w:numId w:val="14"/>
        </w:numPr>
      </w:pPr>
      <w:r>
        <w:t>烟雾模拟报警可直接进入紧急分支，无人可见、能力较强或温湿度正常都不能压低它。</w:t>
      </w:r>
    </w:p>
    <w:p>
      <w:pPr>
        <w:pStyle w:val="NumberItem"/>
        <w:numPr>
          <w:ilvl w:val="0"/>
          <w:numId w:val="14"/>
        </w:numPr>
      </w:pPr>
      <w:r>
        <w:t>页面和日志始终能识别模拟环境输入；传感器缺失不显示正常。</w:t>
      </w:r>
    </w:p>
    <w:p>
      <w:pPr>
        <w:pStyle w:val="NumberItem"/>
        <w:numPr>
          <w:ilvl w:val="0"/>
          <w:numId w:val="14"/>
        </w:numPr>
      </w:pPr>
      <w:r>
        <w:t>I3 未接硬件时不显示已完成；I4 未接外部通知时不显示已通知家属。</w:t>
      </w:r>
    </w:p>
    <w:p>
      <w:pPr>
        <w:pStyle w:val="NumberItem"/>
        <w:numPr>
          <w:ilvl w:val="0"/>
          <w:numId w:val="14"/>
        </w:numPr>
      </w:pPr>
      <w:r>
        <w:t>“关闭提示音”“有人接手”“事件关闭”互不混淆。</w:t>
      </w:r>
    </w:p>
    <w:p>
      <w:pPr>
        <w:pStyle w:val="NumberItem"/>
        <w:numPr>
          <w:ilvl w:val="0"/>
          <w:numId w:val="14"/>
        </w:numPr>
      </w:pPr>
      <w:r>
        <w:t>多事件同时存在时，解除区域停留不会清除烟雾或疑似跌倒事件。</w:t>
      </w:r>
    </w:p>
    <w:p>
      <w:pPr>
        <w:pStyle w:val="NumberItem"/>
        <w:numPr>
          <w:ilvl w:val="0"/>
          <w:numId w:val="14"/>
        </w:numPr>
      </w:pPr>
      <w:r>
        <w:t>同一持续事件不重复刷屏；恢复后新事件可以重新报警。</w:t>
      </w:r>
    </w:p>
    <w:p>
      <w:pPr>
        <w:pStyle w:val="NumberItem"/>
        <w:numPr>
          <w:ilvl w:val="0"/>
          <w:numId w:val="14"/>
        </w:numPr>
      </w:pPr>
      <w:r>
        <w:t>更换场景或视频时正确重置跟踪状态，不混入上一段记录。</w:t>
      </w:r>
    </w:p>
    <w:p>
      <w:pPr>
        <w:pStyle w:val="NumberItem"/>
        <w:numPr>
          <w:ilvl w:val="0"/>
          <w:numId w:val="14"/>
        </w:numPr>
      </w:pPr>
      <w:r>
        <w:t>测试素材与用于调参数的素材分开；报告测试条件和结果，不能宣称临床有效。</w:t>
      </w:r>
    </w:p>
    <w:p>
      <w:pPr>
        <w:pStyle w:val="Heading1"/>
        <w:numPr>
          <w:ilvl w:val="0"/>
          <w:numId w:val="11"/>
        </w:numPr>
      </w:pPr>
      <w:r>
        <w:t>后续扩展与明确不做</w:t>
      </w:r>
    </w:p>
    <w:p>
      <w:pPr/>
      <w:r>
        <w:t>后续：真实环境传感器、手机推送、经过标定的地面距离估计、更多演员与机位的评估。通过输入适配器和通知适配器扩展，不改写事件核心。</w:t>
      </w:r>
    </w:p>
    <w:p>
      <w:pPr/>
      <w:r>
        <w:t>当前不做：认知程度诊断、意识/伤情判断、真实火灾可靠性认证、自动锁门或限制人身活动、未经验证的动态逃生路线、真实紧急电话、隐蔽采集、无标注的假数据、从零训练大模型。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需求方案 · 非医疗或消防设备   |   第 </w:t>
    </w:r>
    <w:r>
      <w:fldChar w:fldCharType="begin"/>
    </w:r>
    <w:r>
      <w:instrText xml:space="preserve"> PAGE </w:instrText>
    </w:r>
    <w:r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主动安全伴护系统  /  原型需求修订方案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Style w:val="Heading1"/>
      <w:pPr>
        <w:tabs>
          <w:tab w:val="num" w:pos="560"/>
        </w:tabs>
        <w:ind w:left="560" w:hanging="5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300" w:lineRule="auto"/>
    </w:pPr>
    <w:rPr>
      <w:rFonts w:ascii="Calibri" w:hAnsi="Calibri" w:eastAsia="Songti SC"/>
      <w:b w:val="0"/>
      <w:color w:val="222222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Songti SC"/>
      <w:b w:val="0"/>
      <w:color w:val="657384"/>
      <w:sz w:val="17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Songti SC"/>
      <w:b w:val="0"/>
      <w:color w:val="657384"/>
      <w:sz w:val="17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cstheme="majorBidi" w:ascii="Calibri" w:hAnsi="Calibri" w:eastAsia="Heiti SC"/>
      <w:b/>
      <w:bCs/>
      <w:color w:val="2E74B5"/>
      <w:sz w:val="32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cstheme="majorBidi" w:ascii="Calibri" w:hAnsi="Calibri" w:eastAsia="Heiti SC"/>
      <w:b/>
      <w:bCs/>
      <w:color w:val="2E74B5"/>
      <w:sz w:val="26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cstheme="majorBidi" w:ascii="Calibri" w:hAnsi="Calibri" w:eastAsia="Heiti SC"/>
      <w:b/>
      <w:bCs/>
      <w:color w:val="1F4D78"/>
      <w:sz w:val="24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76" w:lineRule="auto" w:before="0"/>
      <w:contextualSpacing/>
    </w:pPr>
    <w:rPr>
      <w:rFonts w:cstheme="majorBidi" w:ascii="Calibri" w:hAnsi="Calibri" w:eastAsia="Heiti SC"/>
      <w:b/>
      <w:color w:val="0B2545"/>
      <w:spacing w:val="5"/>
      <w:kern w:val="28"/>
      <w:sz w:val="46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 w:line="288" w:lineRule="auto"/>
    </w:pPr>
    <w:rPr>
      <w:rFonts w:cstheme="majorBidi" w:ascii="Calibri" w:hAnsi="Calibri" w:eastAsia="Heiti SC"/>
      <w:b w:val="0"/>
      <w:i/>
      <w:iCs/>
      <w:color w:val="536373"/>
      <w:spacing w:val="15"/>
      <w:sz w:val="30"/>
      <w:szCs w:val="24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keepNext w:val="0"/>
      <w:widowControl/>
      <w:spacing w:before="0" w:after="180" w:line="288" w:lineRule="auto"/>
    </w:pPr>
    <w:rPr>
      <w:rFonts w:ascii="Calibri" w:hAnsi="Calibri" w:eastAsia="Songti SC"/>
      <w:b w:val="0"/>
      <w:color w:val="657384"/>
      <w:sz w:val="18"/>
      <w:lang w:val="en-US" w:eastAsia="zh-CN"/>
    </w:rPr>
  </w:style>
  <w:style w:type="paragraph" w:customStyle="1" w:styleId="TableText">
    <w:name w:val="Table Text"/>
    <w:pPr>
      <w:keepNext w:val="0"/>
      <w:widowControl/>
      <w:spacing w:before="0" w:after="40" w:line="276" w:lineRule="auto"/>
    </w:pPr>
    <w:rPr>
      <w:rFonts w:ascii="Calibri" w:hAnsi="Calibri" w:eastAsia="Songti SC"/>
      <w:b w:val="0"/>
      <w:color w:val="222222"/>
      <w:sz w:val="20"/>
      <w:lang w:val="en-US" w:eastAsia="zh-CN"/>
    </w:rPr>
  </w:style>
  <w:style w:type="paragraph" w:customStyle="1" w:styleId="TableHeader">
    <w:name w:val="Table Header"/>
    <w:pPr>
      <w:keepNext w:val="0"/>
      <w:widowControl/>
      <w:spacing w:before="0" w:after="40" w:line="276" w:lineRule="auto"/>
    </w:pPr>
    <w:rPr>
      <w:rFonts w:ascii="Calibri" w:hAnsi="Calibri" w:eastAsia="Heiti SC"/>
      <w:b/>
      <w:color w:val="1F3A5F"/>
      <w:sz w:val="20"/>
      <w:lang w:val="en-US" w:eastAsia="zh-CN"/>
    </w:rPr>
  </w:style>
  <w:style w:type="paragraph" w:customStyle="1" w:styleId="TableCitation">
    <w:name w:val="Table Citation"/>
    <w:pPr>
      <w:keepNext w:val="0"/>
      <w:widowControl/>
      <w:spacing w:before="80" w:after="80" w:line="276" w:lineRule="auto"/>
    </w:pPr>
    <w:rPr>
      <w:rFonts w:ascii="Calibri" w:hAnsi="Calibri" w:eastAsia="Songti SC"/>
      <w:b w:val="0"/>
      <w:color w:val="657384"/>
      <w:sz w:val="18"/>
      <w:lang w:val="en-US" w:eastAsia="zh-CN"/>
    </w:rPr>
  </w:style>
  <w:style w:type="paragraph" w:customStyle="1" w:styleId="BulletItem">
    <w:name w:val="Bullet Item"/>
    <w:pPr>
      <w:keepNext w:val="0"/>
      <w:widowControl/>
      <w:spacing w:before="0" w:after="80" w:line="300" w:lineRule="auto"/>
    </w:pPr>
    <w:rPr>
      <w:rFonts w:ascii="Calibri" w:hAnsi="Calibri" w:eastAsia="Songti SC"/>
      <w:b w:val="0"/>
      <w:color w:val="222222"/>
      <w:sz w:val="22"/>
      <w:lang w:val="en-US" w:eastAsia="zh-CN"/>
    </w:rPr>
  </w:style>
  <w:style w:type="paragraph" w:customStyle="1" w:styleId="NumberItem">
    <w:name w:val="Number Item"/>
    <w:pPr>
      <w:keepNext w:val="0"/>
      <w:widowControl/>
      <w:spacing w:before="0" w:after="80" w:line="300" w:lineRule="auto"/>
    </w:pPr>
    <w:rPr>
      <w:rFonts w:ascii="Calibri" w:hAnsi="Calibri" w:eastAsia="Songti SC"/>
      <w:b w:val="0"/>
      <w:color w:val="222222"/>
      <w:sz w:val="22"/>
      <w:lang w:val="en-US" w:eastAsia="zh-CN"/>
    </w:rPr>
  </w:style>
  <w:style w:type="paragraph" w:customStyle="1" w:styleId="Callout">
    <w:name w:val="Callout"/>
    <w:pPr>
      <w:keepNext w:val="0"/>
      <w:widowControl/>
      <w:spacing w:before="80" w:after="160" w:line="300" w:lineRule="auto"/>
    </w:pPr>
    <w:rPr>
      <w:rFonts w:ascii="Calibri" w:hAnsi="Calibri" w:eastAsia="Songti SC"/>
      <w:b w:val="0"/>
      <w:color w:val="1F3A5F"/>
      <w:sz w:val="22"/>
      <w:lang w:val="en-US" w:eastAsia="zh-CN"/>
    </w:rPr>
  </w:style>
  <w:style w:type="paragraph" w:customStyle="1" w:styleId="TableSpacer">
    <w:name w:val="Table Spacer"/>
    <w:pPr>
      <w:keepNext w:val="0"/>
      <w:widowControl/>
      <w:spacing w:before="0" w:after="80" w:line="240" w:lineRule="auto"/>
    </w:pPr>
    <w:rPr>
      <w:rFonts w:ascii="Calibri" w:hAnsi="Calibri" w:eastAsia="Songti SC"/>
      <w:b w:val="0"/>
      <w:color w:val="222222"/>
      <w:sz w:val="4"/>
      <w:lang w:val="en-US" w:eastAsia="zh-CN"/>
    </w:rPr>
  </w:style>
  <w:style w:type="character" w:customStyle="1" w:styleId="InlineCode">
    <w:name w:val="Inline Code"/>
    <w:rPr>
      <w:rFonts w:ascii="Calibri" w:hAnsi="Calibri" w:eastAsia="Songti SC"/>
      <w:b w:val="0"/>
      <w:color w:val="1F4D78"/>
      <w:sz w:val="20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ultralytics.com/tasks/pose/" TargetMode="External"/><Relationship Id="rId12" Type="http://schemas.openxmlformats.org/officeDocument/2006/relationships/hyperlink" Target="https://www.usfa.fema.gov/prevention/home-fires/prepare-for-fire/smoke-alar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认知症患者主动安全伴护系统：原型需求修订方案</dc:title>
  <dc:subject>视觉感知、环境输入、渐进干预与网页报警</dc:subject>
  <dc:creator/>
  <cp:keywords>工业设计,YOLO,风险判断,渐进干预,原型需求</cp:keywords>
  <dc:description>根据项目需求修订方案排版；非医疗或消防设备验证报告。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