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8D4D" w14:textId="3F488315" w:rsidR="00E764AF" w:rsidRDefault="002574A4">
      <w:pPr>
        <w:pStyle w:val="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7A67A307" w14:textId="78B960E3" w:rsidR="00E764AF" w:rsidRDefault="002574A4">
      <w:pPr>
        <w:pStyle w:val="FirstParagraph"/>
      </w:pPr>
      <w:r>
        <w:rPr>
          <w:b/>
        </w:rPr>
        <w:t>Correspondence:</w:t>
      </w:r>
      <w:r>
        <w:t xml:space="preserve"> Shamil Yakubo</w:t>
      </w:r>
      <w:r w:rsidRPr="00485965">
        <w:t xml:space="preserve">v, </w:t>
      </w:r>
      <w:r w:rsidR="00485965" w:rsidRPr="00485965">
        <w:t>yakubov.sha@gmail.com</w:t>
      </w:r>
      <w:r w:rsidR="00A77D70" w:rsidRPr="00485965">
        <w:t xml:space="preserve">; Elizaveta Protsenko, </w:t>
      </w:r>
      <w:r w:rsidR="00485965" w:rsidRPr="00485965">
        <w:t>elisaveta.pro@gmail.com</w:t>
      </w:r>
    </w:p>
    <w:p w14:paraId="3FF89130" w14:textId="2C535471" w:rsidR="00E764AF" w:rsidRDefault="002574A4">
      <w:pPr>
        <w:pStyle w:val="2"/>
      </w:pPr>
      <w:bookmarkStart w:id="1" w:name="abstract"/>
      <w:r>
        <w:t>Abstract</w:t>
      </w:r>
    </w:p>
    <w:p w14:paraId="33D7DBE8" w14:textId="39C417F3" w:rsidR="00C27A81" w:rsidRDefault="00C27A81" w:rsidP="005C0FB2">
      <w:pPr>
        <w:pStyle w:val="a0"/>
      </w:pPr>
      <w:r w:rsidRPr="00C27A81">
        <w:t>High</w:t>
      </w:r>
      <w:r w:rsidR="00E0062C">
        <w:t xml:space="preserve"> </w:t>
      </w:r>
      <w:r w:rsidRPr="00C27A81">
        <w:t xml:space="preserve">alkalinity values on the </w:t>
      </w:r>
      <w:r w:rsidR="007D59CE">
        <w:t xml:space="preserve">seaside </w:t>
      </w:r>
      <w:r w:rsidRPr="00C27A81">
        <w:t xml:space="preserve">can </w:t>
      </w:r>
      <w:r w:rsidR="00104C39">
        <w:t>influence</w:t>
      </w:r>
      <w:r w:rsidRPr="00C27A81">
        <w:t xml:space="preserve"> the exchange of carbon dioxide between seawater and the atmosphere. Still, there are many uncertainties about biogeochemical processes responsible for alkalinity generation in the coastal area.</w:t>
      </w:r>
    </w:p>
    <w:p w14:paraId="3DE6AC70" w14:textId="108993E2" w:rsidR="00E764AF" w:rsidRDefault="005C1C80" w:rsidP="005C0FB2">
      <w:pPr>
        <w:pStyle w:val="a0"/>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the </w:t>
      </w:r>
      <w:r w:rsidR="00F06C2F">
        <w:t>origin</w:t>
      </w:r>
      <w:r w:rsidR="002574A4">
        <w:t xml:space="preserve"> </w:t>
      </w:r>
      <w:r w:rsidR="00F06C2F">
        <w:t>of</w:t>
      </w:r>
      <w:r w:rsidR="00653339">
        <w:t xml:space="preserve"> </w:t>
      </w:r>
      <w:r w:rsidR="002574A4">
        <w:t>high alkalinity values in the German Bight</w:t>
      </w:r>
      <w:r w:rsidR="00C10F62">
        <w:t xml:space="preserve"> </w:t>
      </w:r>
      <w:r w:rsidR="00E42C3E">
        <w:t xml:space="preserve">can be sulfate reduction </w:t>
      </w:r>
      <w:r w:rsidR="00F06C2F">
        <w:t xml:space="preserve">in sediments of the Wadden Sea </w:t>
      </w:r>
      <w:r w:rsidR="00C10F62">
        <w:t xml:space="preserve">and </w:t>
      </w:r>
      <w:r w:rsidR="00171BB7">
        <w:t xml:space="preserve">that it </w:t>
      </w:r>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w:t>
      </w:r>
      <w:r w:rsidR="0098286C">
        <w:t xml:space="preserve">sulfate reduction does not cause any significant </w:t>
      </w:r>
      <w:r w:rsidR="0098286C" w:rsidRPr="00F06C2F">
        <w:rPr>
          <w:i/>
        </w:rPr>
        <w:t>year</w:t>
      </w:r>
      <w:r w:rsidR="0098286C">
        <w:t xml:space="preserve"> alkalinity flux from the Wadden Sea to the German Bight; instead, </w:t>
      </w:r>
      <w:r w:rsidR="00BC2BE0">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D343B9">
        <w:t>are responsible for</w:t>
      </w:r>
      <w:r w:rsidR="009730CC">
        <w:t xml:space="preserve"> </w:t>
      </w:r>
      <w:r w:rsidR="0098286C">
        <w:t>it</w:t>
      </w:r>
      <w:r w:rsidR="009D55B6">
        <w:t xml:space="preserve"> and cause an alkalinity flux about 13 GM a year from the Wadden Sea to the German Bight</w:t>
      </w:r>
      <w:r w:rsidR="00BC2BE0">
        <w:t>.</w:t>
      </w:r>
    </w:p>
    <w:p w14:paraId="557221E6" w14:textId="77777777" w:rsidR="00E764AF" w:rsidRDefault="002574A4">
      <w:pPr>
        <w:pStyle w:val="2"/>
      </w:pPr>
      <w:bookmarkStart w:id="2"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in light of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lastRenderedPageBreak/>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a0"/>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a0"/>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8451A19" w:rsidR="00E764AF" w:rsidRPr="000B034E" w:rsidRDefault="002574A4">
      <w:pPr>
        <w:numPr>
          <w:ilvl w:val="0"/>
          <w:numId w:val="2"/>
        </w:numPr>
        <w:rPr>
          <w:lang w:val="de-DE"/>
        </w:rPr>
      </w:pPr>
      <w:r>
        <w:t xml:space="preserve">Influence of the pelagic and benthic activities in the adjoining Wadden Sea (it is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t xml:space="preserve">In this study, we focus on the alkalinity release from the Wadden Sea. The Wadden Sea is a heterotrophic reservoir where organic matter (OM) </w:t>
      </w:r>
      <w:r w:rsidR="00E33728">
        <w:t>degradation</w:t>
      </w:r>
      <w:r>
        <w:t xml:space="preserve"> prevails over OM </w:t>
      </w:r>
      <w:r>
        <w:lastRenderedPageBreak/>
        <w:t xml:space="preserve">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4F140ED3" w:rsidR="007F42D2" w:rsidRPr="00A35AC7" w:rsidRDefault="00602D90" w:rsidP="00602D90">
      <w:pPr>
        <w:pStyle w:val="a0"/>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ad"/>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39C48C9C" w:rsidR="007F42D2" w:rsidRDefault="007F42D2" w:rsidP="007F42D2">
      <w:pPr>
        <w:pStyle w:val="a0"/>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w:t>
      </w:r>
      <w:r w:rsidR="008019BE">
        <w:t xml:space="preserve">this way: </w:t>
      </w:r>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w:t>
      </w:r>
      <w:r w:rsidR="00D810A8">
        <w:t>s</w:t>
      </w:r>
      <w:r>
        <w:t xml:space="preserve"> </w:t>
      </w:r>
      <w:r w:rsidR="00BF61F8">
        <w:t>this difference</w:t>
      </w:r>
      <w:r w:rsidR="00BA4B24" w:rsidRPr="00E43F52">
        <w:t xml:space="preserve"> </w:t>
      </w:r>
      <w:r w:rsidR="00BA4B24">
        <w:t>in such case</w:t>
      </w:r>
      <w:r>
        <w:t>.</w:t>
      </w:r>
    </w:p>
    <w:p w14:paraId="41FBBB44" w14:textId="7A0727E0" w:rsidR="00602D90" w:rsidRDefault="009D1C1E" w:rsidP="00602D90">
      <w:pPr>
        <w:pStyle w:val="a0"/>
      </w:pPr>
      <w:r>
        <w:rPr>
          <w:rStyle w:val="ad"/>
        </w:rPr>
        <w:fldChar w:fldCharType="begin"/>
      </w:r>
      <w:r>
        <w:rPr>
          <w:rStyle w:val="ad"/>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9D1C1E">
        <w:rPr>
          <w:rFonts w:ascii="Cambria" w:hAnsi="Cambria"/>
        </w:rPr>
        <w:t>(Thomas et al., 2009)</w:t>
      </w:r>
      <w:r>
        <w:rPr>
          <w:rStyle w:val="ad"/>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w:t>
      </w:r>
      <w:r w:rsidR="002A0619">
        <w:t>a</w:t>
      </w:r>
      <w:r w:rsidR="00A35AC7">
        <w:t xml:space="preserv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656905F4" w:rsidR="00C96553" w:rsidRDefault="00A35AC7">
      <w:pPr>
        <w:pStyle w:val="Compact"/>
      </w:pPr>
      <w:r>
        <w:t xml:space="preserve">The </w:t>
      </w:r>
      <w:r w:rsidR="00F37E5F">
        <w:t>current study's main idea is</w:t>
      </w:r>
      <w:r>
        <w:t xml:space="preserve"> </w:t>
      </w:r>
      <w:r w:rsidR="00C96553">
        <w:t>to check whether the Wadden Sea can be a source of alkalinity to the German Bight</w:t>
      </w:r>
      <w:r w:rsidR="00CB3B6A">
        <w:t xml:space="preserve"> and to </w:t>
      </w:r>
      <w:r w:rsidR="0078664D">
        <w:t xml:space="preserve">identify to </w:t>
      </w:r>
      <w:r w:rsidR="00C04C5A">
        <w:t>most important processes</w:t>
      </w:r>
      <w:r w:rsidR="00564D43">
        <w:t xml:space="preserve">, influencing alkalinity there. </w:t>
      </w:r>
      <w:r w:rsidR="00C96553" w:rsidRPr="00D3709B">
        <w:t>To</w:t>
      </w:r>
      <w:r w:rsidR="00C96553">
        <w:t xml:space="preserve"> answer </w:t>
      </w:r>
      <w:r w:rsidR="00564D43">
        <w:t xml:space="preserve">these </w:t>
      </w:r>
      <w:r w:rsidR="00C96553">
        <w:t>question</w:t>
      </w:r>
      <w:r w:rsidR="00564D43">
        <w:t>s</w:t>
      </w:r>
      <w:r w:rsidR="00C96553">
        <w:t>, we need to complete several tasks:</w:t>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0C462227" w:rsidR="00402D4A" w:rsidRDefault="00402D4A" w:rsidP="00970369">
      <w:pPr>
        <w:pStyle w:val="Compact"/>
        <w:numPr>
          <w:ilvl w:val="0"/>
          <w:numId w:val="17"/>
        </w:numPr>
      </w:pPr>
      <w:r>
        <w:t>To est</w:t>
      </w:r>
      <w:r w:rsidR="00F60B57">
        <w:t>imate the maximum possible increase</w:t>
      </w:r>
      <w:r>
        <w:t xml:space="preserve"> of TA, the Wadden Sea can generate.</w:t>
      </w:r>
    </w:p>
    <w:p w14:paraId="0AAE4C03" w14:textId="0051DA19" w:rsidR="00E764AF" w:rsidRDefault="00016563" w:rsidP="005C0FB2">
      <w:pPr>
        <w:pStyle w:val="a0"/>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p>
    <w:p w14:paraId="5BA6D2E6" w14:textId="45E4F35B" w:rsidR="00E764AF" w:rsidRDefault="00B93956">
      <w:pPr>
        <w:pStyle w:val="2"/>
      </w:pPr>
      <w:bookmarkStart w:id="3" w:name="methods-1---a-model-setup"/>
      <w:bookmarkEnd w:id="2"/>
      <w:r>
        <w:t>Methods</w:t>
      </w:r>
    </w:p>
    <w:p w14:paraId="29F5AA28" w14:textId="1C9185E7"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083E65">
      <w:pPr>
        <w:pStyle w:val="a0"/>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a0"/>
      </w:pPr>
      <w:r>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10066977" w:rsidR="00E764AF" w:rsidRDefault="002574A4">
      <w:pPr>
        <w:pStyle w:val="a0"/>
      </w:pPr>
      <w:r>
        <w:lastRenderedPageBreak/>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w:t>
      </w:r>
    </w:p>
    <w:p w14:paraId="1436C83C" w14:textId="2351BFA4" w:rsidR="000B20A6" w:rsidRPr="00BC17D8" w:rsidRDefault="002574A4">
      <w:pPr>
        <w:pStyle w:val="a0"/>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a0"/>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285AEA4E" w:rsidR="00E764AF" w:rsidRDefault="00011B98">
      <w:pPr>
        <w:pStyle w:val="a0"/>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 xml:space="preserve">Both SPBM and the biogeochemical model share the following state variables: autotrophs, </w:t>
      </w:r>
      <m:oMath>
        <m:r>
          <m:rPr>
            <m:nor/>
          </m:rPr>
          <m:t>Phy</m:t>
        </m:r>
      </m:oMath>
      <w:r w:rsidR="007808AE">
        <w:t xml:space="preserve">; heterotrophs, </w:t>
      </w:r>
      <m:oMath>
        <m:r>
          <m:rPr>
            <m:nor/>
          </m:rPr>
          <m:t>Het</m:t>
        </m:r>
      </m:oMath>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1097E248"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xml:space="preserve">. </w:t>
      </w:r>
      <w:r w:rsidR="00CC161C">
        <w:t xml:space="preserve">Also, </w:t>
      </w:r>
      <w:r w:rsidR="002574A4">
        <w:t>SPBM paramet</w:t>
      </w:r>
      <w:r w:rsidR="00E5167B">
        <w:t>e</w:t>
      </w:r>
      <w:r w:rsidR="002574A4">
        <w: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w:t>
      </w:r>
      <w:r w:rsidR="00BB2415">
        <w:rPr>
          <w:rFonts w:eastAsiaTheme="minorEastAsia"/>
        </w:rPr>
        <w:t xml:space="preserve">that need </w:t>
      </w:r>
      <w:r w:rsidR="00D13156">
        <w:rPr>
          <w:rFonts w:eastAsiaTheme="minorEastAsia"/>
        </w:rPr>
        <w:t>to be identified for a specific task.</w:t>
      </w:r>
    </w:p>
    <w:p w14:paraId="2A60130B" w14:textId="42988F51" w:rsidR="004E7CBC" w:rsidRDefault="004E7CBC" w:rsidP="00B65505">
      <w:r>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hyperlink r:id="rId9" w:history="1">
        <w:r w:rsidR="00B457B0" w:rsidRPr="001B69CB">
          <w:rPr>
            <w:rStyle w:val="ad"/>
          </w:rPr>
          <w:t>supplementary materials</w:t>
        </w:r>
      </w:hyperlink>
      <w:r w:rsidR="002574A4">
        <w:t>.</w:t>
      </w:r>
      <w:bookmarkStart w:id="4" w:name="Xf0140fdc16935ab66ba4687b0ff24b8bbb83de7"/>
      <w:bookmarkStart w:id="5" w:name="validation"/>
      <w:bookmarkEnd w:id="3"/>
    </w:p>
    <w:p w14:paraId="27696B9B" w14:textId="39842A0A" w:rsidR="003479D7" w:rsidRDefault="004E7CBC" w:rsidP="004E7CBC">
      <w:pPr>
        <w:pStyle w:val="a0"/>
      </w:pPr>
      <w:r>
        <w:lastRenderedPageBreak/>
        <w:t>We use</w:t>
      </w:r>
      <w:r w:rsidR="006937C5">
        <w:t xml:space="preserve"> </w:t>
      </w:r>
      <w:r>
        <w:t>modeling scenarios</w:t>
      </w:r>
      <w:r w:rsidR="00D94CCB">
        <w:t xml:space="preserve"> to study alkalinity in the German Bight</w:t>
      </w:r>
      <w:r w:rsidR="00C42409">
        <w:t>. There are</w:t>
      </w:r>
      <w:r w:rsidR="005F17FF">
        <w:t xml:space="preserve"> three scenarios in total</w:t>
      </w:r>
      <w:r w:rsidR="003479D7">
        <w:t>:</w:t>
      </w:r>
    </w:p>
    <w:p w14:paraId="585D1628" w14:textId="13676065" w:rsidR="003479D7" w:rsidRDefault="000C60FF" w:rsidP="00631911">
      <w:pPr>
        <w:pStyle w:val="a0"/>
        <w:numPr>
          <w:ilvl w:val="0"/>
          <w:numId w:val="21"/>
        </w:numPr>
      </w:pPr>
      <w:r>
        <w:t>S</w:t>
      </w:r>
      <w:r w:rsidR="004E7CBC">
        <w:t>cenario 1 stud</w:t>
      </w:r>
      <w:r w:rsidR="0058716D">
        <w:t>ies</w:t>
      </w:r>
      <w:r w:rsidR="004E7CBC">
        <w:t xml:space="preserve"> the alkalinity transfer </w:t>
      </w:r>
      <w:r w:rsidR="00D94CCB">
        <w:t>between the Wadden Sea and the German Bight</w:t>
      </w:r>
      <w:r w:rsidR="0058716D">
        <w:t xml:space="preserve">. </w:t>
      </w:r>
    </w:p>
    <w:p w14:paraId="40AB53F2" w14:textId="5993B412" w:rsidR="003479D7" w:rsidRDefault="0058716D" w:rsidP="00631911">
      <w:pPr>
        <w:pStyle w:val="a0"/>
        <w:numPr>
          <w:ilvl w:val="0"/>
          <w:numId w:val="21"/>
        </w:numPr>
      </w:pPr>
      <w:r>
        <w:t>Scenario 2 studies</w:t>
      </w:r>
      <w:r w:rsidR="004E7CBC">
        <w:t xml:space="preserve"> the effect of </w:t>
      </w:r>
      <w:r w:rsidR="000C60FF">
        <w:t>'Irreversible alkalinity'</w:t>
      </w:r>
      <w:r>
        <w:t xml:space="preserve"> on the alkalinity transfer</w:t>
      </w:r>
      <w:r w:rsidR="002F198B">
        <w:t xml:space="preserve">. </w:t>
      </w:r>
    </w:p>
    <w:p w14:paraId="4AE18921" w14:textId="6FD7D7B2" w:rsidR="0047115A" w:rsidRDefault="003458EA" w:rsidP="00631911">
      <w:pPr>
        <w:pStyle w:val="a0"/>
        <w:numPr>
          <w:ilvl w:val="0"/>
          <w:numId w:val="21"/>
        </w:numPr>
      </w:pPr>
      <w:r>
        <w:t>Scenario 3 estimates the maximum possible value of TA the Wadden Sea can generate.</w:t>
      </w:r>
      <w:r w:rsidR="002F198B" w:rsidRPr="002F198B">
        <w:t xml:space="preserve"> </w:t>
      </w:r>
      <w:r w:rsidR="002F198B">
        <w:t>It is a set of 10 model runs with different dispersion coefficients</w:t>
      </w:r>
      <w:r w:rsidR="000D4109">
        <w:t>, which determine mixing conditions in sediments</w:t>
      </w:r>
      <w:r w:rsidR="002F198B">
        <w:t xml:space="preserve">,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w:t>
      </w:r>
    </w:p>
    <w:p w14:paraId="15E40927" w14:textId="467AB2BD" w:rsidR="00A72CBF" w:rsidRDefault="004E7CBC">
      <w:pPr>
        <w:pStyle w:val="a0"/>
      </w:pPr>
      <w:r>
        <w:t>All scenarios are spun up until</w:t>
      </w:r>
      <w:r w:rsidRPr="00024A9E">
        <w:t xml:space="preserve"> a quasi-stationary solution</w:t>
      </w:r>
      <w:r>
        <w:t>.</w:t>
      </w:r>
    </w:p>
    <w:p w14:paraId="667AA2CE" w14:textId="77777777" w:rsidR="00E764AF" w:rsidRDefault="002574A4">
      <w:pPr>
        <w:pStyle w:val="2"/>
      </w:pPr>
      <w:bookmarkStart w:id="6" w:name="results-and-discussion"/>
      <w:bookmarkEnd w:id="4"/>
      <w:bookmarkEnd w:id="5"/>
      <w:r>
        <w:t>Results and discussion</w:t>
      </w:r>
    </w:p>
    <w:p w14:paraId="09C4B705" w14:textId="52D04E19" w:rsidR="00E764AF" w:rsidRDefault="002574A4">
      <w:pPr>
        <w:pStyle w:val="3"/>
      </w:pPr>
      <w:bookmarkStart w:id="7" w:name="X6abcce3a3c41e50b2585d2644a9fa30e65caad1"/>
      <w:r>
        <w:t>Alkalinity transfer from the Wadden Sea to the North Sea</w:t>
      </w:r>
      <w:r w:rsidR="00402D4A">
        <w:t xml:space="preserve"> and processes determining it</w:t>
      </w:r>
    </w:p>
    <w:p w14:paraId="5FB138EA" w14:textId="35DD3AD3" w:rsidR="00694FE6" w:rsidRDefault="006E619C">
      <w:pPr>
        <w:pStyle w:val="FirstParagraph"/>
      </w:pPr>
      <w:r>
        <w:t>Scenario 1</w:t>
      </w:r>
      <w:r w:rsidR="00DC1813">
        <w:t xml:space="preserve">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rsidR="00DC1813">
        <w:t xml:space="preserve">We </w:t>
      </w:r>
      <w:r w:rsidR="004F2121">
        <w:t>take</w:t>
      </w:r>
      <w:r w:rsidR="003D55BB">
        <w:t xml:space="preserve">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3D55BB">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3D55BB">
        <w:rPr>
          <w:rFonts w:eastAsiaTheme="minorEastAsia"/>
        </w:rPr>
        <w:t xml:space="preserve"> </w:t>
      </w:r>
      <w:r w:rsidR="003D55BB">
        <w:t>from all layers of the water column</w:t>
      </w:r>
      <w:r w:rsidR="003D55BB" w:rsidDel="003D55BB">
        <w:t xml:space="preserve"> </w:t>
      </w:r>
      <w:r w:rsidR="003D55BB">
        <w:t xml:space="preserve">from </w:t>
      </w:r>
      <w:r w:rsidR="00694FE6">
        <w:t>Scenario 1</w:t>
      </w:r>
      <w:r w:rsidR="003D55BB">
        <w:t xml:space="preserve">, </w:t>
      </w:r>
      <w:r w:rsidR="00795CFD">
        <w:t xml:space="preserve">sum </w:t>
      </w:r>
      <w:r w:rsidR="003D55BB">
        <w:t>them</w:t>
      </w:r>
      <w:r w:rsidR="00616699">
        <w:t>,</w:t>
      </w:r>
      <w:r w:rsidR="00795CFD">
        <w:t xml:space="preserve"> aggregate by mo</w:t>
      </w:r>
      <w:r w:rsidR="00616699">
        <w:t>nth</w:t>
      </w:r>
      <w:r w:rsidR="00790E2E">
        <w:t>,</w:t>
      </w:r>
      <w:r w:rsidR="00616699">
        <w:t xml:space="preserve"> and get the total flux per year.</w:t>
      </w:r>
      <w:r w:rsidR="00790E2E">
        <w:t xml:space="preserve"> </w:t>
      </w:r>
      <w:r w:rsidR="00694FE6">
        <w:t>(Table R1).</w:t>
      </w:r>
    </w:p>
    <w:p w14:paraId="5CEF0CAD" w14:textId="70DBFF1F" w:rsidR="00E764AF" w:rsidRDefault="002574A4">
      <w:pPr>
        <w:pStyle w:val="a0"/>
      </w:pPr>
      <w:r>
        <w:rPr>
          <w:b/>
        </w:rPr>
        <w:t>Table R1.</w:t>
      </w:r>
      <w:r>
        <w:t xml:space="preserve"> </w:t>
      </w:r>
      <w:r w:rsidR="00490759">
        <w:t xml:space="preserve">Scenario 1. </w:t>
      </w:r>
      <w:r w:rsidR="00E94F4B">
        <w:t xml:space="preserve">The </w:t>
      </w:r>
      <w:r w:rsidR="00E81E18">
        <w:t>fluxes of</w:t>
      </w:r>
      <w:r w:rsidR="00694FE6">
        <w:t xml:space="preserve"> TA components </w:t>
      </w:r>
      <w:r w:rsidR="00E94F4B">
        <w:t xml:space="preserve">integrated through the water column </w:t>
      </w:r>
      <w:r w:rsidR="00A11765">
        <w:t>(between the modeling domain and the external pool)</w:t>
      </w:r>
      <w:r>
        <w:t xml:space="preserve">,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w:t>
      </w:r>
      <w:r w:rsidR="004E7CBC">
        <w:t>'</w:t>
      </w:r>
      <w:r>
        <w:t>Total</w:t>
      </w:r>
      <w:r w:rsidR="004E7CBC">
        <w:t>'</w:t>
      </w:r>
      <w:r>
        <w:t xml:space="preserve"> column. Positive values</w:t>
      </w:r>
      <w:r w:rsidR="00104D9B">
        <w:t xml:space="preserve"> represent</w:t>
      </w:r>
      <w:r>
        <w:t xml:space="preserve"> alkalinity </w:t>
      </w:r>
      <w:r w:rsidR="00016C60">
        <w:t xml:space="preserve">flux </w:t>
      </w:r>
      <w:r>
        <w:t>from the external pool to the modeling domain, negative - alkalinity outflows from the modeling domain to the external pool.</w:t>
      </w:r>
    </w:p>
    <w:p w14:paraId="42D74850" w14:textId="4534BBB4" w:rsidR="001A1A22" w:rsidRDefault="001A1A22" w:rsidP="00631911">
      <w:pPr>
        <w:pStyle w:val="a0"/>
        <w:jc w:val="center"/>
      </w:pPr>
      <w:r>
        <w:rPr>
          <w:noProof/>
          <w:lang w:val="ru-RU" w:eastAsia="ru-RU"/>
        </w:rPr>
        <w:drawing>
          <wp:inline distT="0" distB="0" distL="0" distR="0" wp14:anchorId="0AC1676A" wp14:editId="59E55510">
            <wp:extent cx="4672800" cy="29250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2800" cy="2925095"/>
                    </a:xfrm>
                    <a:prstGeom prst="rect">
                      <a:avLst/>
                    </a:prstGeom>
                    <a:noFill/>
                    <a:ln>
                      <a:noFill/>
                    </a:ln>
                  </pic:spPr>
                </pic:pic>
              </a:graphicData>
            </a:graphic>
          </wp:inline>
        </w:drawing>
      </w:r>
    </w:p>
    <w:p w14:paraId="560F2E0B" w14:textId="65FE9017" w:rsidR="00896BD9" w:rsidRDefault="005051B3" w:rsidP="00477C1F">
      <w:pPr>
        <w:pStyle w:val="a0"/>
        <w:rPr>
          <w:rFonts w:eastAsiaTheme="minorEastAsia"/>
        </w:rPr>
      </w:pPr>
      <w:r>
        <w:rPr>
          <w:rFonts w:eastAsiaTheme="minorEastAsia"/>
        </w:rPr>
        <w:lastRenderedPageBreak/>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w:t>
      </w:r>
    </w:p>
    <w:p w14:paraId="44D0F297" w14:textId="77AF32A1" w:rsidR="00193C4F" w:rsidRPr="00C512CA" w:rsidRDefault="00193C4F" w:rsidP="00193C4F">
      <w:pPr>
        <w:pStyle w:val="a0"/>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r w:rsidR="00A2774E">
        <w:t xml:space="preserve">But there are many factors </w:t>
      </w:r>
      <w:r w:rsidR="00DE4723">
        <w:t>changing its effect on alkalinity</w:t>
      </w:r>
      <w:r w:rsidR="00DE4723" w:rsidRPr="00631911">
        <w:t>:</w:t>
      </w:r>
      <w:r w:rsidR="00DE4723">
        <w:t xml:space="preserve"> </w:t>
      </w:r>
      <w:r w:rsidRPr="000862C6">
        <w:rPr>
          <w:rFonts w:eastAsiaTheme="minorEastAsia"/>
        </w:rPr>
        <w:t xml:space="preserve">the autotrophs </w:t>
      </w:r>
      <w:r w:rsidR="00B859B9">
        <w:rPr>
          <w:rFonts w:eastAsiaTheme="minorEastAsia"/>
        </w:rPr>
        <w:t xml:space="preserve">actively </w:t>
      </w:r>
      <w:r w:rsidRPr="000862C6">
        <w:rPr>
          <w:rFonts w:eastAsiaTheme="minorEastAsia"/>
        </w:rPr>
        <w:t>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increase in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859B9">
        <w:rPr>
          <w:rFonts w:eastAsiaTheme="minorEastAsia"/>
        </w:rPr>
        <w:t xml:space="preserve"> </w:t>
      </w:r>
      <w:r w:rsidRPr="00C512CA">
        <w:t>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14F0A54B" w:rsidR="005051B3" w:rsidRDefault="00A422A1">
      <w:pPr>
        <w:pStyle w:val="a0"/>
      </w:pPr>
      <w:r>
        <w:rPr>
          <w:rFonts w:eastAsiaTheme="minorEastAsia"/>
        </w:rPr>
        <w:t xml:space="preserve">If not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 t</w:t>
      </w:r>
      <w:r w:rsidR="00174C68">
        <w:rPr>
          <w:rFonts w:eastAsiaTheme="minorEastAsia"/>
        </w:rPr>
        <w:t xml:space="preserve">hen </w:t>
      </w:r>
      <w:r w:rsidR="00EE7A94">
        <w:rPr>
          <w:rFonts w:eastAsiaTheme="minorEastAsia"/>
        </w:rPr>
        <w:t xml:space="preserve">nitrates </w:t>
      </w:r>
      <w:r w:rsidR="00294297">
        <w:rPr>
          <w:rFonts w:eastAsiaTheme="minorEastAsia"/>
        </w:rPr>
        <w:t>are</w:t>
      </w:r>
      <w:r w:rsidR="00EE7A94">
        <w:rPr>
          <w:rFonts w:eastAsiaTheme="minorEastAsia"/>
        </w:rPr>
        <w:t xml:space="preserve"> the most important </w:t>
      </w:r>
      <w:r w:rsidR="00174C68">
        <w:rPr>
          <w:rFonts w:eastAsiaTheme="minorEastAsia"/>
        </w:rPr>
        <w:t>component of</w:t>
      </w:r>
      <w:r w:rsidR="00174C68" w:rsidRPr="00174C68">
        <w:t xml:space="preserve"> </w:t>
      </w:r>
      <w:r w:rsidR="00174C68">
        <w:t>TA flux</w:t>
      </w:r>
      <w:r w:rsidR="00B612DA">
        <w:t>.</w:t>
      </w:r>
      <w:r w:rsidR="00004A53" w:rsidDel="00004A53">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has a negative charge, so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inflow to the modeling domain corresponds to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A446EC">
        <w:t xml:space="preserve"> outflow</w:t>
      </w:r>
      <w:r w:rsidR="00294297">
        <w:t>.</w:t>
      </w:r>
      <w:r w:rsidR="00A446EC">
        <w:t xml:space="preserve"> Therefore, there is a significant spring input of nitrates</w:t>
      </w:r>
      <w:r w:rsidR="009E5954">
        <w:t xml:space="preserve"> to the modeling domain from the external pool</w:t>
      </w:r>
      <w:r w:rsidR="00B612DA">
        <w:t xml:space="preserve"> corresponding to the TA output</w:t>
      </w:r>
      <w:r w:rsidR="009E5954">
        <w:t>.</w:t>
      </w:r>
      <w:r w:rsidR="00A446EC">
        <w:t xml:space="preserve"> </w:t>
      </w:r>
      <w:r w:rsidR="009E5954">
        <w:t>These allochthonous nitrates</w:t>
      </w:r>
      <w:r w:rsidR="00A446EC">
        <w:t xml:space="preserve"> are then utilized by primary producers or by denitrification</w:t>
      </w:r>
      <w:r w:rsidR="009E5954">
        <w:t xml:space="preserve"> in the modeling domain.</w:t>
      </w:r>
    </w:p>
    <w:p w14:paraId="68DA0264" w14:textId="21DE7393" w:rsidR="0017203D" w:rsidRDefault="00DE494C">
      <w:pPr>
        <w:pStyle w:val="a0"/>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3"/>
      </w:pPr>
      <w:r>
        <w:t>The effect of 'Irreversible alkalinity' on alkalinity generation</w:t>
      </w:r>
    </w:p>
    <w:p w14:paraId="4FC67436" w14:textId="02C1303C" w:rsidR="00E764AF" w:rsidRDefault="006B56B4">
      <w:pPr>
        <w:pStyle w:val="a0"/>
      </w:pPr>
      <w:r>
        <w:rPr>
          <w:rStyle w:val="ad"/>
        </w:rPr>
        <w:fldChar w:fldCharType="begin"/>
      </w:r>
      <w:r>
        <w:rPr>
          <w:rStyle w:val="ad"/>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6B56B4">
        <w:rPr>
          <w:rFonts w:ascii="Cambria" w:hAnsi="Cambria"/>
        </w:rPr>
        <w:t>(Thomas et al., 2009)</w:t>
      </w:r>
      <w:r>
        <w:rPr>
          <w:rStyle w:val="ad"/>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3"/>
      </w:pPr>
      <w:bookmarkStart w:id="8" w:name="X425a6ad9e5714883e786c76f68d415371365a9f"/>
      <w:bookmarkEnd w:id="7"/>
      <w:r>
        <w:t xml:space="preserve">High summer </w:t>
      </w:r>
      <w:r w:rsidR="00C601D4">
        <w:t>a</w:t>
      </w:r>
      <w:r>
        <w:t xml:space="preserve">lkalinity </w:t>
      </w:r>
      <w:r w:rsidR="00C601D4">
        <w:t>v</w:t>
      </w:r>
      <w:r>
        <w:t>alues in the German Bight</w:t>
      </w:r>
    </w:p>
    <w:p w14:paraId="52DFEC16" w14:textId="6F01D9A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First, we want to evaluate which parameters can cause such a difference.</w:t>
      </w:r>
    </w:p>
    <w:p w14:paraId="19B68BE7" w14:textId="63F75FEA" w:rsidR="003E31F1" w:rsidRDefault="00F163F0">
      <w:pPr>
        <w:pStyle w:val="FirstParagraph"/>
      </w:pPr>
      <w:r>
        <w:t xml:space="preserve">The </w:t>
      </w:r>
      <w:r w:rsidR="0032715B">
        <w:t xml:space="preserve">biogeochemical transformations </w:t>
      </w:r>
      <w:r w:rsidR="00402D4A">
        <w:t xml:space="preserve">of nitrogen species </w:t>
      </w:r>
      <w:r>
        <w:t xml:space="preserve">cannot </w:t>
      </w:r>
      <w:r w:rsidR="00897013">
        <w:t xml:space="preserve">provide </w:t>
      </w:r>
      <w:r>
        <w:t xml:space="preserve">such </w:t>
      </w:r>
      <w:r w:rsidR="00897013">
        <w:t>increase of TA</w:t>
      </w:r>
      <w:r>
        <w:t xml:space="preserv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xml:space="preserve">. </w:t>
      </w:r>
      <w:r w:rsidR="00A54188">
        <w:rPr>
          <w:rFonts w:eastAsiaTheme="minorEastAsia"/>
        </w:rPr>
        <w:t xml:space="preserve">So, even if all nitrate will be consumed, it </w:t>
      </w:r>
      <w:r>
        <w:rPr>
          <w:rFonts w:eastAsiaTheme="minorEastAsia"/>
        </w:rPr>
        <w:t xml:space="preserve">will increase TA </w:t>
      </w:r>
      <w:r w:rsidR="00A54188">
        <w:rPr>
          <w:rFonts w:eastAsiaTheme="minorEastAsia"/>
        </w:rPr>
        <w:t xml:space="preserve">by </w:t>
      </w:r>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 xml:space="preserve">(van </w:t>
      </w:r>
      <w:r w:rsidR="00E00EB1" w:rsidRPr="00E00EB1">
        <w:rPr>
          <w:rFonts w:ascii="Cambria" w:hAnsi="Cambria"/>
        </w:rPr>
        <w:lastRenderedPageBreak/>
        <w:t>Beusekom et al., 2009)</w:t>
      </w:r>
      <w:r w:rsidR="00E00EB1">
        <w:fldChar w:fldCharType="end"/>
      </w:r>
      <w:r w:rsidR="000F088F">
        <w:t>. Its consumption will decrease TA by 10 μM.</w:t>
      </w:r>
      <w:r w:rsidR="00E00EB1">
        <w:t xml:space="preserve"> The overall effect from nitrogen species </w:t>
      </w:r>
      <w:r w:rsidR="00250D51">
        <w:t xml:space="preserve">can </w:t>
      </w:r>
      <w:r w:rsidR="00E00EB1">
        <w:t>increase alkalinity by no more than 30 μM.</w:t>
      </w:r>
    </w:p>
    <w:p w14:paraId="1AB48D69" w14:textId="77777777" w:rsidR="00680BF3" w:rsidRDefault="00E00EB1" w:rsidP="00680BF3">
      <w:pPr>
        <w:pStyle w:val="a0"/>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083AAE54" w:rsidR="008700D1" w:rsidRDefault="00083E65" w:rsidP="00E00EB1">
      <w:pPr>
        <w:pStyle w:val="a0"/>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w:t>
      </w:r>
      <w:r w:rsidR="00457238">
        <w:rPr>
          <w:rFonts w:eastAsiaTheme="minorEastAsia"/>
        </w:rPr>
        <w:t xml:space="preserve">summer </w:t>
      </w:r>
      <w:r w:rsidR="006414A2">
        <w:rPr>
          <w:rFonts w:eastAsiaTheme="minorEastAsia"/>
        </w:rPr>
        <w:t>TA values in the German Bight.</w:t>
      </w:r>
    </w:p>
    <w:p w14:paraId="054C88A2" w14:textId="6EF47FFC" w:rsidR="008700D1" w:rsidRPr="0043363A" w:rsidRDefault="005223A8" w:rsidP="0043363A">
      <w:pPr>
        <w:pStyle w:val="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0060FC08" w:rsidR="00930633" w:rsidRDefault="00970369" w:rsidP="00970369">
      <w:pPr>
        <w:pStyle w:val="a0"/>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w:t>
      </w:r>
      <w:r w:rsidR="000D2733">
        <w:t xml:space="preserve">(they define mixing in sediments) </w:t>
      </w:r>
      <w:r>
        <w:t xml:space="preserve">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R1).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w:t>
      </w:r>
      <w:r w:rsidR="002574A4">
        <w:t>two quantities</w:t>
      </w:r>
      <w:r w:rsidR="00CD5EDB" w:rsidRPr="00CD5EDB">
        <w:t xml:space="preserve"> </w:t>
      </w:r>
      <w:r w:rsidR="00CD5EDB">
        <w:t>daily</w:t>
      </w:r>
      <w:r w:rsidR="002574A4">
        <w:t xml:space="preserve">: </w:t>
      </w:r>
      <w:r w:rsidR="000F6027">
        <w:rPr>
          <w:rFonts w:eastAsiaTheme="minorEastAsia"/>
        </w:rPr>
        <w:t xml:space="preserve">1) </w:t>
      </w:r>
      <m:oMath>
        <m:r>
          <m:rPr>
            <m:nor/>
          </m:rPr>
          <m:t>TA</m:t>
        </m:r>
      </m:oMath>
      <w:r w:rsidR="000F6027">
        <w:t xml:space="preserve"> flux</w:t>
      </w:r>
      <w:r w:rsidR="002574A4">
        <w:t xml:space="preserve"> </w:t>
      </w:r>
      <w:r w:rsidR="000F6027">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5D0EE80A" w:rsidR="008B37C5" w:rsidRDefault="00176F93">
      <w:pPr>
        <w:pStyle w:val="a0"/>
      </w:pPr>
      <w:r>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 xml:space="preserve">(Fig. R1 </w:t>
      </w:r>
      <w:r w:rsidR="002574A4">
        <w:rPr>
          <w:b/>
        </w:rPr>
        <w:t>A</w:t>
      </w:r>
      <w:r w:rsidR="002574A4">
        <w:t xml:space="preserve">). </w:t>
      </w:r>
      <w:r w:rsidR="008B5099">
        <w:t>R</w:t>
      </w:r>
      <w:r w:rsidR="008B37C5">
        <w:t>e</w:t>
      </w:r>
      <w:r w:rsidR="002574A4">
        <w:t xml:space="preserve">lative </w:t>
      </w:r>
      <m:oMath>
        <m:r>
          <m:rPr>
            <m:nor/>
          </m:rPr>
          <m:t>TA</m:t>
        </m:r>
      </m:oMath>
      <w:r w:rsidR="002574A4">
        <w:t xml:space="preserve"> concentration</w:t>
      </w:r>
      <w:r w:rsidR="008B37C5">
        <w:t>s</w:t>
      </w:r>
      <w:r w:rsidR="002574A4">
        <w:t xml:space="preserve"> in the water column grow with the values of the dispersion coefficients</w:t>
      </w:r>
      <w:r w:rsidR="008B5099">
        <w:t xml:space="preserve"> until reaching the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(Fig. R1 </w:t>
      </w:r>
      <w:r w:rsidR="002574A4">
        <w:rPr>
          <w:b/>
        </w:rPr>
        <w:t>B</w:t>
      </w:r>
      <w:r w:rsidR="002574A4">
        <w:t xml:space="preserve">). </w:t>
      </w:r>
      <m:oMath>
        <m:r>
          <m:rPr>
            <m:nor/>
          </m:rPr>
          <m:t>TA</m:t>
        </m:r>
      </m:oMath>
      <w:r w:rsidR="00F11A77">
        <w:t xml:space="preserve"> values stop growing</w:t>
      </w:r>
      <w:r w:rsidR="00AE287A">
        <w:t xml:space="preserve"> after reaching this threshold</w:t>
      </w:r>
      <w:r w:rsidR="00EA19E7" w:rsidRPr="00EA19E7">
        <w:t xml:space="preserve"> </w:t>
      </w:r>
      <w:r w:rsidR="00EA19E7">
        <w:t>and do not result in higher alkalinity concentrations in the water column</w:t>
      </w:r>
      <w:r w:rsidR="00E56CB2">
        <w:t xml:space="preserve">. Therefore, </w:t>
      </w:r>
      <w:r w:rsidR="002574A4">
        <w:t xml:space="preserve">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0E0301">
        <w:t>.</w:t>
      </w:r>
    </w:p>
    <w:p w14:paraId="0B10916C" w14:textId="1F6D342C" w:rsidR="005C4A05" w:rsidRDefault="002574A4">
      <w:pPr>
        <w:pStyle w:val="a0"/>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R1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R1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3"/>
      </w:pPr>
      <w:r>
        <w:t>Effect of alkalinity fluxes th</w:t>
      </w:r>
      <w:r w:rsidR="00347F48">
        <w:t>r</w:t>
      </w:r>
      <w:r>
        <w:t xml:space="preserve">ough SWI on Alkalinity values </w:t>
      </w:r>
    </w:p>
    <w:p w14:paraId="3878718D" w14:textId="7C2F1B1A" w:rsidR="00E764AF" w:rsidRDefault="005C4A05">
      <w:pPr>
        <w:pStyle w:val="a0"/>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w:t>
      </w:r>
      <w:r w:rsidR="000D673F">
        <w:t xml:space="preserve">that </w:t>
      </w:r>
      <w:r w:rsidR="002574A4" w:rsidRPr="00BF751C">
        <w:t xml:space="preserve">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w:t>
      </w:r>
      <w:r w:rsidR="00A21BBF">
        <w:t xml:space="preserve"> </w:t>
      </w:r>
      <w:r w:rsidR="00A21BBF" w:rsidRPr="00BF751C">
        <w:t xml:space="preserve">For example, </w:t>
      </w:r>
      <w:r w:rsidR="00A21BBF">
        <w:t>t</w:t>
      </w:r>
      <w:r w:rsidR="00A21BBF" w:rsidRPr="00BF751C">
        <w:t xml:space="preserve">he </w:t>
      </w:r>
      <m:oMath>
        <m:r>
          <m:rPr>
            <m:nor/>
          </m:rPr>
          <m:t>TA</m:t>
        </m:r>
      </m:oMath>
      <w:r w:rsidR="002574A4" w:rsidRPr="00BF751C">
        <w:t xml:space="preserve"> fluxes are approximately the same in May and November (</w:t>
      </w:r>
      <w:r w:rsidR="00D97266">
        <w:t>~</w:t>
      </w:r>
      <w:r w:rsidR="002574A4" w:rsidRPr="00BF751C">
        <w:t xml:space="preserve">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r w:rsidR="00A21BBF">
        <w:t xml:space="preserve"> </w:t>
      </w:r>
      <w:r w:rsidR="00A21BBF" w:rsidRPr="00BF751C">
        <w:t xml:space="preserve">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21BBF" w:rsidRPr="00BF751C">
        <w:t xml:space="preserve"> </w:t>
      </w:r>
      <w:r w:rsidR="00A21BBF">
        <w:t>(</w:t>
      </w:r>
      <w:r w:rsidR="00A21BBF" w:rsidRPr="00BF751C">
        <w:t xml:space="preserve">Figs. R1 </w:t>
      </w:r>
      <w:r w:rsidR="00A21BBF" w:rsidRPr="00BF751C">
        <w:rPr>
          <w:b/>
        </w:rPr>
        <w:t>A</w:t>
      </w:r>
      <w:r w:rsidR="00A21BBF" w:rsidRPr="00BF751C">
        <w:t xml:space="preserve"> and </w:t>
      </w:r>
      <w:r w:rsidR="00A21BBF" w:rsidRPr="00BF751C">
        <w:rPr>
          <w:b/>
        </w:rPr>
        <w:t>B</w:t>
      </w:r>
      <w:r w:rsidR="00A21BBF">
        <w:t>,</w:t>
      </w:r>
      <w:r w:rsidR="00A756E2">
        <w:t xml:space="preserve"> </w:t>
      </w:r>
      <w:r w:rsidR="00A21BBF" w:rsidRPr="00BF751C">
        <w:t>red line)</w:t>
      </w:r>
      <w:r w:rsidR="0057792A">
        <w:t xml:space="preserve">. </w:t>
      </w:r>
      <w:r w:rsidR="002574A4" w:rsidRPr="00BF751C">
        <w:t xml:space="preserve"> </w:t>
      </w:r>
      <w:r w:rsidR="00A756E2">
        <w:t>B</w:t>
      </w:r>
      <w:r w:rsidR="002574A4" w:rsidRPr="00BF751C">
        <w:t>ut in</w:t>
      </w:r>
      <w:r w:rsidR="007913D1">
        <w:t xml:space="preserve"> </w:t>
      </w:r>
      <w:r w:rsidR="002574A4" w:rsidRPr="00BF751C">
        <w:t>November</w:t>
      </w:r>
      <w:r w:rsidR="005048D6">
        <w:t>,</w:t>
      </w:r>
      <w:r w:rsidR="00A5300A">
        <w:t xml:space="preserve"> </w:t>
      </w:r>
      <w:r w:rsidR="00A5300A" w:rsidRPr="00BF751C">
        <w:t xml:space="preserve">the relative </w:t>
      </w:r>
      <m:oMath>
        <m:r>
          <m:rPr>
            <m:nor/>
          </m:rPr>
          <m:t>TA</m:t>
        </m:r>
      </m:oMath>
      <w:r w:rsidR="00A5300A" w:rsidRPr="00BF751C">
        <w:t xml:space="preserve"> decreases</w:t>
      </w:r>
      <w:r w:rsidR="007449E8">
        <w:t xml:space="preserve"> despite</w:t>
      </w:r>
      <w:r w:rsidR="008C32E9">
        <w:t xml:space="preserve"> </w:t>
      </w:r>
      <w:r w:rsidR="007449E8">
        <w:t xml:space="preserve">the </w:t>
      </w:r>
      <w:r w:rsidR="002F4E83">
        <w:t xml:space="preserve">high and </w:t>
      </w:r>
      <w:r w:rsidR="007449E8">
        <w:t>positive TA flux</w:t>
      </w:r>
      <w:r w:rsidR="002574A4" w:rsidRPr="00BF751C">
        <w:t>.</w:t>
      </w:r>
      <w:r w:rsidR="00BF146C">
        <w:t xml:space="preserve"> Below we will try to understand what </w:t>
      </w:r>
      <w:r w:rsidR="009C5404">
        <w:t xml:space="preserve">can </w:t>
      </w:r>
      <w:r w:rsidR="00BF146C">
        <w:t xml:space="preserve">be </w:t>
      </w:r>
      <w:r w:rsidR="008F1750">
        <w:t>a</w:t>
      </w:r>
      <w:r w:rsidR="00BF146C">
        <w:t xml:space="preserve"> reason for it.</w:t>
      </w:r>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11"/>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362FAA15" w:rsidR="00E764AF" w:rsidRDefault="002574A4">
      <w:pPr>
        <w:pStyle w:val="a0"/>
      </w:pPr>
      <w:r>
        <w:rPr>
          <w:b/>
        </w:rPr>
        <w:t>Figure R1.</w:t>
      </w:r>
      <w:r w:rsidR="005A1660">
        <w:t xml:space="preserve"> Year</w:t>
      </w:r>
      <w:r>
        <w:t xml:space="preserve"> profiles of </w:t>
      </w:r>
      <m:oMath>
        <m:r>
          <m:rPr>
            <m:nor/>
          </m:rPr>
          <m:t>TA</m:t>
        </m:r>
      </m:oMath>
      <w:r>
        <w:t xml:space="preserve"> fluxes at the SWI (</w:t>
      </w:r>
      <w:r>
        <w:rPr>
          <w:b/>
        </w:rPr>
        <w:t>A</w:t>
      </w:r>
      <w:r>
        <w:t>)</w:t>
      </w:r>
      <w:r w:rsidR="00C75859">
        <w:t xml:space="preserve">, </w:t>
      </w:r>
      <w:r>
        <w:t xml:space="preserve">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5D9CC85C" w:rsidR="00E764AF" w:rsidRDefault="00CE7287">
      <w:pPr>
        <w:pStyle w:val="a0"/>
      </w:pPr>
      <w:r>
        <w:t>A</w:t>
      </w:r>
      <w:r w:rsidR="002574A4">
        <w:t>lkalinity flux</w:t>
      </w:r>
      <w:r w:rsidR="009C5404">
        <w:t>es</w:t>
      </w:r>
      <w:r w:rsidR="002574A4">
        <w:t xml:space="preserve"> consist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398BB5B5" w14:textId="12776AF6" w:rsidR="00F27974" w:rsidRDefault="002574A4">
      <w:pPr>
        <w:numPr>
          <w:ilvl w:val="0"/>
          <w:numId w:val="11"/>
        </w:numPr>
      </w:pPr>
      <w:r>
        <w:t xml:space="preserve">The change in the ratios between </w:t>
      </w:r>
      <m:oMath>
        <m:r>
          <m:rPr>
            <m:nor/>
          </m:rPr>
          <m:t>TA</m:t>
        </m:r>
      </m:oMath>
      <w:r w:rsidR="004E7CBC">
        <w:t>'</w:t>
      </w:r>
      <w:r>
        <w:t>s component fluxes can ultimately change the resulting alkalinity in the water column. For example,</w:t>
      </w:r>
      <w:r w:rsidR="00C74FB9" w:rsidRPr="00631911">
        <w:t xml:space="preserve"> </w:t>
      </w:r>
      <w:r w:rsidR="00C74FB9">
        <w:t xml:space="preserve">additional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27974">
        <w:t xml:space="preserve">  </w:t>
      </w:r>
      <w:r w:rsidR="00B471EE">
        <w:t xml:space="preserve">appeared due to </w:t>
      </w:r>
      <w:r w:rsidR="00F10EC0">
        <w:t xml:space="preserve">an increase of the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10EC0">
        <w:t xml:space="preserve"> flux </w:t>
      </w:r>
      <w:r w:rsidR="00B471EE">
        <w:t xml:space="preserve">can be </w:t>
      </w:r>
      <w:r w:rsidR="005A0122">
        <w:t>then</w:t>
      </w:r>
      <w:r w:rsidR="00F10EC0">
        <w:t xml:space="preserve"> </w:t>
      </w:r>
      <w:r w:rsidR="00B471EE">
        <w:t xml:space="preserve">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471EE">
        <w:t xml:space="preserve">, which </w:t>
      </w:r>
      <w:r w:rsidR="00F10EC0">
        <w:t xml:space="preserve">can ultimately decrease </w:t>
      </w:r>
      <m:oMath>
        <m:r>
          <m:rPr>
            <m:nor/>
          </m:rPr>
          <m:t>TA</m:t>
        </m:r>
      </m:oMath>
      <w:r w:rsidR="00F10EC0">
        <w:t xml:space="preserve"> in the water column.</w:t>
      </w:r>
    </w:p>
    <w:p w14:paraId="70CD6431" w14:textId="47A406C9" w:rsidR="00E764AF" w:rsidRDefault="00741D2C">
      <w:pPr>
        <w:numPr>
          <w:ilvl w:val="0"/>
          <w:numId w:val="11"/>
        </w:numPr>
      </w:pPr>
      <w:r>
        <w:t>A</w:t>
      </w:r>
      <w:r w:rsidR="00916D9A">
        <w:t xml:space="preserve"> strong flux of sulfates to</w:t>
      </w:r>
      <w:r w:rsidR="002574A4">
        <w:t xml:space="preserve"> sediments</w:t>
      </w:r>
      <w:r>
        <w:t xml:space="preserve"> </w:t>
      </w:r>
      <w:r w:rsidR="001A260C">
        <w:t xml:space="preserve">should </w:t>
      </w:r>
      <w:r>
        <w:t>coexist with</w:t>
      </w:r>
      <w:r w:rsidR="00417227">
        <w:t xml:space="preserve"> </w:t>
      </w:r>
      <w:r w:rsidR="00063601">
        <w:t>a strong flux of</w:t>
      </w:r>
      <w:r w:rsidR="002574A4">
        <w:t xml:space="preserve"> reduced sulfur compounds </w:t>
      </w:r>
      <w:r w:rsidR="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R="00F53070">
        <w:t xml:space="preserve">) </w:t>
      </w:r>
      <w:r w:rsidR="002574A4">
        <w:t xml:space="preserve">in the opposite </w:t>
      </w:r>
      <w:r w:rsidR="002574A4" w:rsidRPr="005202DA">
        <w:t xml:space="preserve">direction. </w:t>
      </w:r>
      <w:r w:rsidR="00063601">
        <w:t>The</w:t>
      </w:r>
      <w:r w:rsidR="005202DA" w:rsidRPr="005202DA">
        <w:t xml:space="preserve"> oxidation</w:t>
      </w:r>
      <w:r w:rsidR="00063601">
        <w:t xml:space="preserve"> of reduced sulfur compounds</w:t>
      </w:r>
      <w:r w:rsidR="002574A4" w:rsidRPr="005202DA">
        <w:t xml:space="preserve"> to sulfate</w:t>
      </w:r>
      <w:r w:rsidR="00063601" w:rsidRPr="005202DA">
        <w:t xml:space="preserve"> in the water column</w:t>
      </w:r>
      <w:r w:rsidR="002574A4" w:rsidRPr="005202DA">
        <w:t xml:space="preserve"> will reduce alkalinity. </w:t>
      </w:r>
      <w:r w:rsidR="002574A4">
        <w:t xml:space="preserve">Therefore, the ratio of the </w:t>
      </w:r>
      <m:oMath>
        <m:r>
          <m:rPr>
            <m:nor/>
          </m:rPr>
          <m:t>TA</m:t>
        </m:r>
      </m:oMath>
      <w:r w:rsidR="002574A4">
        <w:t xml:space="preserve"> flux to the reduced sulfur compounds flux should determine the resulting </w:t>
      </w:r>
      <m:oMath>
        <m:r>
          <m:rPr>
            <m:nor/>
          </m:rPr>
          <m:t>TA</m:t>
        </m:r>
      </m:oMath>
      <w:r w:rsidR="002574A4">
        <w:t xml:space="preserve"> change in the water column. Roughly we can assume that if the </w:t>
      </w:r>
      <m:oMath>
        <m:r>
          <m:rPr>
            <m:nor/>
          </m:rPr>
          <m:t>TA</m:t>
        </m:r>
      </m:oMath>
      <w:r w:rsidR="002574A4">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rsidR="002574A4">
        <w:t xml:space="preserve">) </w:t>
      </w:r>
      <w:r w:rsidR="000B1A27">
        <w:t xml:space="preserve">then </w:t>
      </w:r>
      <m:oMath>
        <m:r>
          <m:rPr>
            <m:nor/>
          </m:rPr>
          <m:t>TA</m:t>
        </m:r>
      </m:oMath>
      <w:r w:rsidR="002574A4">
        <w:t xml:space="preserve"> in the water column will increase</w:t>
      </w:r>
      <w:r w:rsidR="002A107A">
        <w:t>;</w:t>
      </w:r>
      <w:r w:rsidR="002574A4">
        <w:t xml:space="preserve"> otherwise</w:t>
      </w:r>
      <w:r w:rsidR="002A107A">
        <w:t>,</w:t>
      </w:r>
      <w:r w:rsidR="002574A4">
        <w:t xml:space="preserve"> </w:t>
      </w:r>
      <m:oMath>
        <m:r>
          <m:rPr>
            <m:nor/>
          </m:rPr>
          <m:t>TA</m:t>
        </m:r>
      </m:oMath>
      <w:r w:rsidR="002574A4">
        <w:t xml:space="preserve"> in the water column will decrease.</w:t>
      </w:r>
    </w:p>
    <w:p w14:paraId="74FD32FA" w14:textId="334CA157" w:rsidR="00CD3AF3" w:rsidRPr="0031572C" w:rsidRDefault="00290762">
      <w:pPr>
        <w:pStyle w:val="FirstParagraph"/>
      </w:pPr>
      <w:r>
        <w:lastRenderedPageBreak/>
        <w:t xml:space="preserve">Table 2 shows the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and </w:t>
      </w:r>
      <w:r>
        <w:t>reduced sulfur compounds fluxes (</w:t>
      </w:r>
      <m:oMath>
        <m:r>
          <m:rPr>
            <m:nor/>
          </m:rPr>
          <m:t>RSC</m:t>
        </m:r>
      </m:oMath>
      <w:r>
        <w:t xml:space="preserve">) at the </w:t>
      </w:r>
      <m:oMath>
        <m:r>
          <m:rPr>
            <m:nor/>
          </m:rPr>
          <m:t>SWI</m:t>
        </m:r>
      </m:oMath>
      <w:r>
        <w:t xml:space="preserve"> multiplied by 2</w:t>
      </w:r>
      <w:r w:rsidR="00DF5071">
        <w:t xml:space="preserve">. </w:t>
      </w:r>
      <w:r w:rsidR="002A107A">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R1 </w:t>
      </w:r>
      <w:r w:rsidR="002574A4">
        <w:rPr>
          <w:b/>
        </w:rPr>
        <w:t>A, B</w:t>
      </w:r>
      <w:r w:rsidR="002574A4">
        <w:t xml:space="preserve">), but the relative </w:t>
      </w:r>
      <m:oMath>
        <m:r>
          <m:rPr>
            <m:nor/>
          </m:rPr>
          <m:t>TA</m:t>
        </m:r>
      </m:oMath>
      <w:r w:rsidR="002574A4">
        <w:t xml:space="preserve"> decreases in November.</w:t>
      </w:r>
      <w:r w:rsidR="00DF5071">
        <w:t xml:space="preserve"> </w:t>
      </w:r>
      <w:r w:rsidR="0031572C">
        <w:t xml:space="preserve">In November </w:t>
      </w:r>
      <w:r w:rsidR="001B2239">
        <w:t xml:space="preserve">the alkalinity flux is smaller </w:t>
      </w:r>
      <w:r w:rsidR="00927FD9">
        <w:t>than</w:t>
      </w:r>
      <w:r w:rsidR="001B2239">
        <w:t xml:space="preserve"> reduced sulfur compounds flux (Table R2), while in May</w:t>
      </w:r>
      <w:r w:rsidR="00DB5DA6">
        <w:t xml:space="preserve"> the situation is the opposite.</w:t>
      </w:r>
    </w:p>
    <w:p w14:paraId="1289A57D" w14:textId="3B7FBE0D" w:rsidR="00E764AF" w:rsidRDefault="002574A4">
      <w:pPr>
        <w:pStyle w:val="FirstParagraph"/>
      </w:pPr>
      <w:r>
        <w:t xml:space="preserve">Thus, </w:t>
      </w:r>
      <w:r w:rsidR="00980285">
        <w:t xml:space="preserve">according to </w:t>
      </w:r>
      <w:r>
        <w:t xml:space="preserve">our calculations, the positive alkalinity fluxes can accompany </w:t>
      </w:r>
      <w:r w:rsidR="006B6E9A">
        <w:t xml:space="preserve">not only </w:t>
      </w:r>
      <w:r>
        <w:t>an increase</w:t>
      </w:r>
      <w:r w:rsidR="006B6E9A">
        <w:t xml:space="preserve"> but also </w:t>
      </w:r>
      <w:r>
        <w:t>a</w:t>
      </w:r>
      <w:r w:rsidR="006B6E9A">
        <w:t xml:space="preserve"> </w:t>
      </w:r>
      <w:r>
        <w:t xml:space="preserve">decrease of alkalinity concentration in the water column. It happens </w:t>
      </w:r>
      <w:r w:rsidR="006B6E9A">
        <w:t xml:space="preserve">if </w:t>
      </w:r>
      <w:r>
        <w:t xml:space="preserve">the actual </w:t>
      </w:r>
      <m:oMath>
        <m:r>
          <m:rPr>
            <m:nor/>
          </m:rPr>
          <m:t>TA</m:t>
        </m:r>
      </m:oMath>
      <w:r>
        <w:t xml:space="preserve"> release during sulfate reduction is accompanied by the </w:t>
      </w:r>
      <w:r w:rsidR="006B6E9A">
        <w:t xml:space="preserve">strong </w:t>
      </w:r>
      <w:r>
        <w:t>reduced sulfur compounds flux.</w:t>
      </w:r>
    </w:p>
    <w:p w14:paraId="459E5F49" w14:textId="77777777" w:rsidR="00E764AF" w:rsidRDefault="002574A4">
      <w:pPr>
        <w:pStyle w:val="a0"/>
      </w:pPr>
      <w:r>
        <w:rPr>
          <w:b/>
        </w:rPr>
        <w:t>Table R2.</w:t>
      </w:r>
      <w:r>
        <w:t xml:space="preserve"> Ap</w:t>
      </w:r>
      <w:bookmarkStart w:id="9" w:name="_GoBack"/>
      <w:bookmarkEnd w:id="9"/>
      <w:r>
        <w:t xml:space="preserve">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083E65">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08F94397" w14:textId="3B2584CA" w:rsidR="00F100FF" w:rsidRDefault="00F100FF" w:rsidP="0043363A">
      <w:pPr>
        <w:pStyle w:val="3"/>
      </w:pPr>
      <w:r>
        <w:t xml:space="preserve">The composition of the </w:t>
      </w:r>
      <m:oMath>
        <m:r>
          <m:rPr>
            <m:nor/>
          </m:rPr>
          <m:t>TA</m:t>
        </m:r>
      </m:oMath>
      <w:r>
        <w:t xml:space="preserve"> flux at the SWI</w:t>
      </w:r>
    </w:p>
    <w:p w14:paraId="5404D774" w14:textId="442CD0D3" w:rsidR="00E764AF" w:rsidRDefault="002574A4">
      <w:pPr>
        <w:pStyle w:val="a0"/>
      </w:pPr>
      <w:r>
        <w:t xml:space="preserve">In our calculations, the </w:t>
      </w:r>
      <w:r w:rsidR="009D1E7B">
        <w:t>TA flux composition</w:t>
      </w:r>
      <w:r>
        <w:t xml:space="preserve"> at the SWI does not change significantly with different dispersion coefficients, but it changes during the year (see Table R3). The sulfate part prevails during the entire year</w:t>
      </w:r>
      <w:r w:rsidR="005510DF">
        <w:t xml:space="preserve"> with the</w:t>
      </w:r>
      <w:r>
        <w:t xml:space="preserve"> smallest </w:t>
      </w:r>
      <w:r w:rsidR="005510DF">
        <w:t xml:space="preserve">influence </w:t>
      </w:r>
      <w:r>
        <w:t xml:space="preserve">in late winter and early spring. The other compounds are still important since the influence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component on alkalinity is compensated by the concomitant flux of the reduced sulfur compounds.</w:t>
      </w:r>
    </w:p>
    <w:p w14:paraId="58CA6FDB" w14:textId="77777777" w:rsidR="00E764AF" w:rsidRDefault="002574A4">
      <w:pPr>
        <w:pStyle w:val="a0"/>
      </w:pPr>
      <w:r>
        <w:rPr>
          <w:b/>
        </w:rPr>
        <w:t>Table R3.</w:t>
      </w:r>
      <w:r>
        <w:t xml:space="preserve"> The composition of the </w:t>
      </w:r>
      <m:oMath>
        <m:r>
          <m:rPr>
            <m:nor/>
          </m:rPr>
          <m:t>TA</m:t>
        </m:r>
      </m:oMath>
      <w:r>
        <w:t xml:space="preserve"> flux at the </w:t>
      </w:r>
      <m:oMath>
        <m:r>
          <m:rPr>
            <m:nor/>
          </m:rPr>
          <m:t>SWI</m:t>
        </m:r>
      </m:oMath>
      <w:r>
        <w:t xml:space="preserve"> in different months, normalized to one for each month. The values shown are the contributions of each term. The contributions can be positive (alkalinity flux from the sediments to the water column) or negative; the contributions sum up to one for each month. 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contribution in January is positive and equal 0.56, so it causes the increase of alkalinity in the water column, but it corresponds to the sulfate flux from the water column to the sediments.</w:t>
      </w:r>
    </w:p>
    <w:tbl>
      <w:tblPr>
        <w:tblStyle w:val="Table"/>
        <w:tblW w:w="0" w:type="auto"/>
        <w:tblLook w:val="0020" w:firstRow="1" w:lastRow="0" w:firstColumn="0" w:lastColumn="0" w:noHBand="0" w:noVBand="0"/>
      </w:tblPr>
      <w:tblGrid>
        <w:gridCol w:w="1301"/>
        <w:gridCol w:w="656"/>
        <w:gridCol w:w="656"/>
        <w:gridCol w:w="656"/>
        <w:gridCol w:w="656"/>
        <w:gridCol w:w="656"/>
        <w:gridCol w:w="656"/>
        <w:gridCol w:w="656"/>
        <w:gridCol w:w="656"/>
        <w:gridCol w:w="656"/>
        <w:gridCol w:w="656"/>
        <w:gridCol w:w="656"/>
        <w:gridCol w:w="656"/>
      </w:tblGrid>
      <w:tr w:rsidR="00E764AF" w14:paraId="61EC6ADC" w14:textId="77777777" w:rsidTr="00BE1584">
        <w:tc>
          <w:tcPr>
            <w:tcW w:w="0" w:type="auto"/>
            <w:vAlign w:val="bottom"/>
          </w:tcPr>
          <w:p w14:paraId="693201EB" w14:textId="77777777" w:rsidR="00E764AF" w:rsidRDefault="002574A4">
            <w:pPr>
              <w:pStyle w:val="Compact"/>
              <w:jc w:val="center"/>
            </w:pPr>
            <w:r>
              <w:t>Parameter</w:t>
            </w:r>
          </w:p>
        </w:tc>
        <w:tc>
          <w:tcPr>
            <w:tcW w:w="0" w:type="auto"/>
            <w:vAlign w:val="bottom"/>
          </w:tcPr>
          <w:p w14:paraId="3E807AA6" w14:textId="77777777" w:rsidR="00E764AF" w:rsidRDefault="002574A4">
            <w:pPr>
              <w:pStyle w:val="Compact"/>
              <w:jc w:val="center"/>
            </w:pPr>
            <w:r>
              <w:t>Jan</w:t>
            </w:r>
          </w:p>
        </w:tc>
        <w:tc>
          <w:tcPr>
            <w:tcW w:w="0" w:type="auto"/>
            <w:vAlign w:val="bottom"/>
          </w:tcPr>
          <w:p w14:paraId="61EE09D2" w14:textId="77777777" w:rsidR="00E764AF" w:rsidRDefault="002574A4">
            <w:pPr>
              <w:pStyle w:val="Compact"/>
              <w:jc w:val="center"/>
            </w:pPr>
            <w:r>
              <w:t>Feb</w:t>
            </w:r>
          </w:p>
        </w:tc>
        <w:tc>
          <w:tcPr>
            <w:tcW w:w="0" w:type="auto"/>
            <w:vAlign w:val="bottom"/>
          </w:tcPr>
          <w:p w14:paraId="03FB9D20" w14:textId="77777777" w:rsidR="00E764AF" w:rsidRDefault="002574A4">
            <w:pPr>
              <w:pStyle w:val="Compact"/>
              <w:jc w:val="center"/>
            </w:pPr>
            <w:r>
              <w:t>Mar</w:t>
            </w:r>
          </w:p>
        </w:tc>
        <w:tc>
          <w:tcPr>
            <w:tcW w:w="0" w:type="auto"/>
            <w:vAlign w:val="bottom"/>
          </w:tcPr>
          <w:p w14:paraId="66C79450" w14:textId="77777777" w:rsidR="00E764AF" w:rsidRDefault="002574A4">
            <w:pPr>
              <w:pStyle w:val="Compact"/>
              <w:jc w:val="center"/>
            </w:pPr>
            <w:r>
              <w:t>Apr</w:t>
            </w:r>
          </w:p>
        </w:tc>
        <w:tc>
          <w:tcPr>
            <w:tcW w:w="0" w:type="auto"/>
            <w:vAlign w:val="bottom"/>
          </w:tcPr>
          <w:p w14:paraId="1191AA0A" w14:textId="77777777" w:rsidR="00E764AF" w:rsidRDefault="002574A4">
            <w:pPr>
              <w:pStyle w:val="Compact"/>
              <w:jc w:val="center"/>
            </w:pPr>
            <w:r>
              <w:t>May</w:t>
            </w:r>
          </w:p>
        </w:tc>
        <w:tc>
          <w:tcPr>
            <w:tcW w:w="0" w:type="auto"/>
            <w:vAlign w:val="bottom"/>
          </w:tcPr>
          <w:p w14:paraId="1C350778" w14:textId="77777777" w:rsidR="00E764AF" w:rsidRDefault="002574A4">
            <w:pPr>
              <w:pStyle w:val="Compact"/>
              <w:jc w:val="center"/>
            </w:pPr>
            <w:r>
              <w:t>Jun</w:t>
            </w:r>
          </w:p>
        </w:tc>
        <w:tc>
          <w:tcPr>
            <w:tcW w:w="0" w:type="auto"/>
            <w:vAlign w:val="bottom"/>
          </w:tcPr>
          <w:p w14:paraId="396C4529" w14:textId="77777777" w:rsidR="00E764AF" w:rsidRDefault="002574A4">
            <w:pPr>
              <w:pStyle w:val="Compact"/>
              <w:jc w:val="center"/>
            </w:pPr>
            <w:r>
              <w:t>Jul</w:t>
            </w:r>
          </w:p>
        </w:tc>
        <w:tc>
          <w:tcPr>
            <w:tcW w:w="0" w:type="auto"/>
            <w:vAlign w:val="bottom"/>
          </w:tcPr>
          <w:p w14:paraId="09A60313" w14:textId="77777777" w:rsidR="00E764AF" w:rsidRDefault="002574A4">
            <w:pPr>
              <w:pStyle w:val="Compact"/>
              <w:jc w:val="center"/>
            </w:pPr>
            <w:r>
              <w:t>Aug</w:t>
            </w:r>
          </w:p>
        </w:tc>
        <w:tc>
          <w:tcPr>
            <w:tcW w:w="0" w:type="auto"/>
            <w:vAlign w:val="bottom"/>
          </w:tcPr>
          <w:p w14:paraId="40D0A6D3" w14:textId="77777777" w:rsidR="00E764AF" w:rsidRDefault="002574A4">
            <w:pPr>
              <w:pStyle w:val="Compact"/>
              <w:jc w:val="center"/>
            </w:pPr>
            <w:r>
              <w:t>Sep</w:t>
            </w:r>
          </w:p>
        </w:tc>
        <w:tc>
          <w:tcPr>
            <w:tcW w:w="0" w:type="auto"/>
            <w:vAlign w:val="bottom"/>
          </w:tcPr>
          <w:p w14:paraId="1F9CCBF7" w14:textId="77777777" w:rsidR="00E764AF" w:rsidRDefault="002574A4">
            <w:pPr>
              <w:pStyle w:val="Compact"/>
              <w:jc w:val="center"/>
            </w:pPr>
            <w:r>
              <w:t>Oct</w:t>
            </w:r>
          </w:p>
        </w:tc>
        <w:tc>
          <w:tcPr>
            <w:tcW w:w="0" w:type="auto"/>
            <w:vAlign w:val="bottom"/>
          </w:tcPr>
          <w:p w14:paraId="5D497801" w14:textId="77777777" w:rsidR="00E764AF" w:rsidRDefault="002574A4">
            <w:pPr>
              <w:pStyle w:val="Compact"/>
              <w:jc w:val="center"/>
            </w:pPr>
            <w:r>
              <w:t>Nov</w:t>
            </w:r>
          </w:p>
        </w:tc>
        <w:tc>
          <w:tcPr>
            <w:tcW w:w="0" w:type="auto"/>
            <w:vAlign w:val="bottom"/>
          </w:tcPr>
          <w:p w14:paraId="668D9DD2" w14:textId="77777777" w:rsidR="00E764AF" w:rsidRDefault="002574A4">
            <w:pPr>
              <w:pStyle w:val="Compact"/>
              <w:jc w:val="center"/>
            </w:pPr>
            <w:r>
              <w:t>Dec</w:t>
            </w:r>
          </w:p>
        </w:tc>
      </w:tr>
      <w:tr w:rsidR="00E764AF" w14:paraId="767320A2" w14:textId="77777777" w:rsidTr="00BE1584">
        <w:tc>
          <w:tcPr>
            <w:tcW w:w="0" w:type="auto"/>
          </w:tcPr>
          <w:p w14:paraId="45CC7780" w14:textId="77777777" w:rsidR="00E764AF" w:rsidRDefault="00083E65">
            <w:pPr>
              <w:pStyle w:val="Compact"/>
              <w:jc w:val="center"/>
            </w:pPr>
            <m:oMathPara>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m:oMathPara>
          </w:p>
        </w:tc>
        <w:tc>
          <w:tcPr>
            <w:tcW w:w="0" w:type="auto"/>
          </w:tcPr>
          <w:p w14:paraId="501153D3" w14:textId="77777777" w:rsidR="00E764AF" w:rsidRPr="00BE1584" w:rsidRDefault="002574A4">
            <w:pPr>
              <w:pStyle w:val="Compact"/>
              <w:jc w:val="center"/>
              <w:rPr>
                <w:sz w:val="20"/>
                <w:szCs w:val="20"/>
              </w:rPr>
            </w:pPr>
            <w:r w:rsidRPr="00BE1584">
              <w:rPr>
                <w:sz w:val="20"/>
                <w:szCs w:val="20"/>
              </w:rPr>
              <w:t>-0.01</w:t>
            </w:r>
          </w:p>
        </w:tc>
        <w:tc>
          <w:tcPr>
            <w:tcW w:w="0" w:type="auto"/>
          </w:tcPr>
          <w:p w14:paraId="43C995D3" w14:textId="77777777" w:rsidR="00E764AF" w:rsidRPr="00BE1584" w:rsidRDefault="002574A4">
            <w:pPr>
              <w:pStyle w:val="Compact"/>
              <w:jc w:val="center"/>
              <w:rPr>
                <w:sz w:val="20"/>
                <w:szCs w:val="20"/>
              </w:rPr>
            </w:pPr>
            <w:r w:rsidRPr="00BE1584">
              <w:rPr>
                <w:sz w:val="20"/>
                <w:szCs w:val="20"/>
              </w:rPr>
              <w:t>-0.02</w:t>
            </w:r>
          </w:p>
        </w:tc>
        <w:tc>
          <w:tcPr>
            <w:tcW w:w="0" w:type="auto"/>
          </w:tcPr>
          <w:p w14:paraId="2785A721" w14:textId="77777777" w:rsidR="00E764AF" w:rsidRPr="00BE1584" w:rsidRDefault="002574A4">
            <w:pPr>
              <w:pStyle w:val="Compact"/>
              <w:jc w:val="center"/>
              <w:rPr>
                <w:sz w:val="20"/>
                <w:szCs w:val="20"/>
              </w:rPr>
            </w:pPr>
            <w:r w:rsidRPr="00BE1584">
              <w:rPr>
                <w:sz w:val="20"/>
                <w:szCs w:val="20"/>
              </w:rPr>
              <w:t>-0.02</w:t>
            </w:r>
          </w:p>
        </w:tc>
        <w:tc>
          <w:tcPr>
            <w:tcW w:w="0" w:type="auto"/>
          </w:tcPr>
          <w:p w14:paraId="4D6970E8" w14:textId="77777777" w:rsidR="00E764AF" w:rsidRPr="00BE1584" w:rsidRDefault="002574A4">
            <w:pPr>
              <w:pStyle w:val="Compact"/>
              <w:jc w:val="center"/>
              <w:rPr>
                <w:sz w:val="20"/>
                <w:szCs w:val="20"/>
              </w:rPr>
            </w:pPr>
            <w:r w:rsidRPr="00BE1584">
              <w:rPr>
                <w:sz w:val="20"/>
                <w:szCs w:val="20"/>
              </w:rPr>
              <w:t>-0.01</w:t>
            </w:r>
          </w:p>
        </w:tc>
        <w:tc>
          <w:tcPr>
            <w:tcW w:w="0" w:type="auto"/>
          </w:tcPr>
          <w:p w14:paraId="611D5EE7" w14:textId="77777777" w:rsidR="00E764AF" w:rsidRPr="00BE1584" w:rsidRDefault="002574A4">
            <w:pPr>
              <w:pStyle w:val="Compact"/>
              <w:jc w:val="center"/>
              <w:rPr>
                <w:sz w:val="20"/>
                <w:szCs w:val="20"/>
              </w:rPr>
            </w:pPr>
            <w:r w:rsidRPr="00BE1584">
              <w:rPr>
                <w:sz w:val="20"/>
                <w:szCs w:val="20"/>
              </w:rPr>
              <w:t>-0.01</w:t>
            </w:r>
          </w:p>
        </w:tc>
        <w:tc>
          <w:tcPr>
            <w:tcW w:w="0" w:type="auto"/>
          </w:tcPr>
          <w:p w14:paraId="3ECEAFF7" w14:textId="77777777" w:rsidR="00E764AF" w:rsidRPr="00BE1584" w:rsidRDefault="002574A4">
            <w:pPr>
              <w:pStyle w:val="Compact"/>
              <w:jc w:val="center"/>
              <w:rPr>
                <w:sz w:val="20"/>
                <w:szCs w:val="20"/>
              </w:rPr>
            </w:pPr>
            <w:r w:rsidRPr="00BE1584">
              <w:rPr>
                <w:sz w:val="20"/>
                <w:szCs w:val="20"/>
              </w:rPr>
              <w:t>-0.01</w:t>
            </w:r>
          </w:p>
        </w:tc>
        <w:tc>
          <w:tcPr>
            <w:tcW w:w="0" w:type="auto"/>
          </w:tcPr>
          <w:p w14:paraId="1A416DBA" w14:textId="77777777" w:rsidR="00E764AF" w:rsidRPr="00BE1584" w:rsidRDefault="002574A4">
            <w:pPr>
              <w:pStyle w:val="Compact"/>
              <w:jc w:val="center"/>
              <w:rPr>
                <w:sz w:val="20"/>
                <w:szCs w:val="20"/>
              </w:rPr>
            </w:pPr>
            <w:r w:rsidRPr="00BE1584">
              <w:rPr>
                <w:sz w:val="20"/>
                <w:szCs w:val="20"/>
              </w:rPr>
              <w:t>-0.01</w:t>
            </w:r>
          </w:p>
        </w:tc>
        <w:tc>
          <w:tcPr>
            <w:tcW w:w="0" w:type="auto"/>
          </w:tcPr>
          <w:p w14:paraId="5B1B27A0" w14:textId="77777777" w:rsidR="00E764AF" w:rsidRPr="00BE1584" w:rsidRDefault="002574A4">
            <w:pPr>
              <w:pStyle w:val="Compact"/>
              <w:jc w:val="center"/>
              <w:rPr>
                <w:sz w:val="20"/>
                <w:szCs w:val="20"/>
              </w:rPr>
            </w:pPr>
            <w:r w:rsidRPr="00BE1584">
              <w:rPr>
                <w:sz w:val="20"/>
                <w:szCs w:val="20"/>
              </w:rPr>
              <w:t>-0.01</w:t>
            </w:r>
          </w:p>
        </w:tc>
        <w:tc>
          <w:tcPr>
            <w:tcW w:w="0" w:type="auto"/>
          </w:tcPr>
          <w:p w14:paraId="3BCC01A9" w14:textId="77777777" w:rsidR="00E764AF" w:rsidRPr="00BE1584" w:rsidRDefault="002574A4">
            <w:pPr>
              <w:pStyle w:val="Compact"/>
              <w:jc w:val="center"/>
              <w:rPr>
                <w:sz w:val="20"/>
                <w:szCs w:val="20"/>
              </w:rPr>
            </w:pPr>
            <w:r w:rsidRPr="00BE1584">
              <w:rPr>
                <w:sz w:val="20"/>
                <w:szCs w:val="20"/>
              </w:rPr>
              <w:t>-0.01</w:t>
            </w:r>
          </w:p>
        </w:tc>
        <w:tc>
          <w:tcPr>
            <w:tcW w:w="0" w:type="auto"/>
          </w:tcPr>
          <w:p w14:paraId="1C6896C0" w14:textId="77777777" w:rsidR="00E764AF" w:rsidRPr="00BE1584" w:rsidRDefault="002574A4">
            <w:pPr>
              <w:pStyle w:val="Compact"/>
              <w:jc w:val="center"/>
              <w:rPr>
                <w:sz w:val="20"/>
                <w:szCs w:val="20"/>
              </w:rPr>
            </w:pPr>
            <w:r w:rsidRPr="00BE1584">
              <w:rPr>
                <w:sz w:val="20"/>
                <w:szCs w:val="20"/>
              </w:rPr>
              <w:t>-0.01</w:t>
            </w:r>
          </w:p>
        </w:tc>
        <w:tc>
          <w:tcPr>
            <w:tcW w:w="0" w:type="auto"/>
          </w:tcPr>
          <w:p w14:paraId="736BFBDE" w14:textId="77777777" w:rsidR="00E764AF" w:rsidRPr="00BE1584" w:rsidRDefault="002574A4">
            <w:pPr>
              <w:pStyle w:val="Compact"/>
              <w:jc w:val="center"/>
              <w:rPr>
                <w:sz w:val="20"/>
                <w:szCs w:val="20"/>
              </w:rPr>
            </w:pPr>
            <w:r w:rsidRPr="00BE1584">
              <w:rPr>
                <w:sz w:val="20"/>
                <w:szCs w:val="20"/>
              </w:rPr>
              <w:t>-0.01</w:t>
            </w:r>
          </w:p>
        </w:tc>
        <w:tc>
          <w:tcPr>
            <w:tcW w:w="0" w:type="auto"/>
          </w:tcPr>
          <w:p w14:paraId="10AA75BA" w14:textId="77777777" w:rsidR="00E764AF" w:rsidRPr="00BE1584" w:rsidRDefault="002574A4">
            <w:pPr>
              <w:pStyle w:val="Compact"/>
              <w:jc w:val="center"/>
              <w:rPr>
                <w:sz w:val="20"/>
                <w:szCs w:val="20"/>
              </w:rPr>
            </w:pPr>
            <w:r w:rsidRPr="00BE1584">
              <w:rPr>
                <w:sz w:val="20"/>
                <w:szCs w:val="20"/>
              </w:rPr>
              <w:t>-0.01</w:t>
            </w:r>
          </w:p>
        </w:tc>
      </w:tr>
      <w:tr w:rsidR="00E764AF" w14:paraId="24100FB7" w14:textId="77777777" w:rsidTr="00BE1584">
        <w:tc>
          <w:tcPr>
            <w:tcW w:w="0" w:type="auto"/>
          </w:tcPr>
          <w:p w14:paraId="39B7CC4E" w14:textId="77777777" w:rsidR="00E764AF" w:rsidRDefault="00083E65">
            <w:pPr>
              <w:pStyle w:val="Compact"/>
              <w:jc w:val="center"/>
            </w:pPr>
            <m:oMathPara>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m:oMathPara>
          </w:p>
        </w:tc>
        <w:tc>
          <w:tcPr>
            <w:tcW w:w="0" w:type="auto"/>
          </w:tcPr>
          <w:p w14:paraId="5B25A413" w14:textId="77777777" w:rsidR="00E764AF" w:rsidRPr="00BE1584" w:rsidRDefault="002574A4">
            <w:pPr>
              <w:pStyle w:val="Compact"/>
              <w:jc w:val="center"/>
              <w:rPr>
                <w:sz w:val="20"/>
                <w:szCs w:val="20"/>
              </w:rPr>
            </w:pPr>
            <w:r w:rsidRPr="00BE1584">
              <w:rPr>
                <w:sz w:val="20"/>
                <w:szCs w:val="20"/>
              </w:rPr>
              <w:t>0.28</w:t>
            </w:r>
          </w:p>
        </w:tc>
        <w:tc>
          <w:tcPr>
            <w:tcW w:w="0" w:type="auto"/>
          </w:tcPr>
          <w:p w14:paraId="4E1461A4" w14:textId="77777777" w:rsidR="00E764AF" w:rsidRPr="00BE1584" w:rsidRDefault="002574A4">
            <w:pPr>
              <w:pStyle w:val="Compact"/>
              <w:jc w:val="center"/>
              <w:rPr>
                <w:sz w:val="20"/>
                <w:szCs w:val="20"/>
              </w:rPr>
            </w:pPr>
            <w:r w:rsidRPr="00BE1584">
              <w:rPr>
                <w:sz w:val="20"/>
                <w:szCs w:val="20"/>
              </w:rPr>
              <w:t>0.32</w:t>
            </w:r>
          </w:p>
        </w:tc>
        <w:tc>
          <w:tcPr>
            <w:tcW w:w="0" w:type="auto"/>
          </w:tcPr>
          <w:p w14:paraId="7EF2AA44" w14:textId="77777777" w:rsidR="00E764AF" w:rsidRPr="00BE1584" w:rsidRDefault="002574A4">
            <w:pPr>
              <w:pStyle w:val="Compact"/>
              <w:jc w:val="center"/>
              <w:rPr>
                <w:sz w:val="20"/>
                <w:szCs w:val="20"/>
              </w:rPr>
            </w:pPr>
            <w:r w:rsidRPr="00BE1584">
              <w:rPr>
                <w:sz w:val="20"/>
                <w:szCs w:val="20"/>
              </w:rPr>
              <w:t>0.34</w:t>
            </w:r>
          </w:p>
        </w:tc>
        <w:tc>
          <w:tcPr>
            <w:tcW w:w="0" w:type="auto"/>
          </w:tcPr>
          <w:p w14:paraId="3E7ADCCD" w14:textId="77777777" w:rsidR="00E764AF" w:rsidRPr="00BE1584" w:rsidRDefault="002574A4">
            <w:pPr>
              <w:pStyle w:val="Compact"/>
              <w:jc w:val="center"/>
              <w:rPr>
                <w:sz w:val="20"/>
                <w:szCs w:val="20"/>
              </w:rPr>
            </w:pPr>
            <w:r w:rsidRPr="00BE1584">
              <w:rPr>
                <w:sz w:val="20"/>
                <w:szCs w:val="20"/>
              </w:rPr>
              <w:t>0.28</w:t>
            </w:r>
          </w:p>
        </w:tc>
        <w:tc>
          <w:tcPr>
            <w:tcW w:w="0" w:type="auto"/>
          </w:tcPr>
          <w:p w14:paraId="0A75861C" w14:textId="77777777" w:rsidR="00E764AF" w:rsidRPr="00BE1584" w:rsidRDefault="002574A4">
            <w:pPr>
              <w:pStyle w:val="Compact"/>
              <w:jc w:val="center"/>
              <w:rPr>
                <w:sz w:val="20"/>
                <w:szCs w:val="20"/>
              </w:rPr>
            </w:pPr>
            <w:r w:rsidRPr="00BE1584">
              <w:rPr>
                <w:sz w:val="20"/>
                <w:szCs w:val="20"/>
              </w:rPr>
              <w:t>0.18</w:t>
            </w:r>
          </w:p>
        </w:tc>
        <w:tc>
          <w:tcPr>
            <w:tcW w:w="0" w:type="auto"/>
          </w:tcPr>
          <w:p w14:paraId="59A68749" w14:textId="77777777" w:rsidR="00E764AF" w:rsidRPr="00BE1584" w:rsidRDefault="002574A4">
            <w:pPr>
              <w:pStyle w:val="Compact"/>
              <w:jc w:val="center"/>
              <w:rPr>
                <w:sz w:val="20"/>
                <w:szCs w:val="20"/>
              </w:rPr>
            </w:pPr>
            <w:r w:rsidRPr="00BE1584">
              <w:rPr>
                <w:sz w:val="20"/>
                <w:szCs w:val="20"/>
              </w:rPr>
              <w:t>0.15</w:t>
            </w:r>
          </w:p>
        </w:tc>
        <w:tc>
          <w:tcPr>
            <w:tcW w:w="0" w:type="auto"/>
          </w:tcPr>
          <w:p w14:paraId="64A0CE50" w14:textId="77777777" w:rsidR="00E764AF" w:rsidRPr="00BE1584" w:rsidRDefault="002574A4">
            <w:pPr>
              <w:pStyle w:val="Compact"/>
              <w:jc w:val="center"/>
              <w:rPr>
                <w:sz w:val="20"/>
                <w:szCs w:val="20"/>
              </w:rPr>
            </w:pPr>
            <w:r w:rsidRPr="00BE1584">
              <w:rPr>
                <w:sz w:val="20"/>
                <w:szCs w:val="20"/>
              </w:rPr>
              <w:t>0.14</w:t>
            </w:r>
          </w:p>
        </w:tc>
        <w:tc>
          <w:tcPr>
            <w:tcW w:w="0" w:type="auto"/>
          </w:tcPr>
          <w:p w14:paraId="0817C841" w14:textId="77777777" w:rsidR="00E764AF" w:rsidRPr="00BE1584" w:rsidRDefault="002574A4">
            <w:pPr>
              <w:pStyle w:val="Compact"/>
              <w:jc w:val="center"/>
              <w:rPr>
                <w:sz w:val="20"/>
                <w:szCs w:val="20"/>
              </w:rPr>
            </w:pPr>
            <w:r w:rsidRPr="00BE1584">
              <w:rPr>
                <w:sz w:val="20"/>
                <w:szCs w:val="20"/>
              </w:rPr>
              <w:t>0.13</w:t>
            </w:r>
          </w:p>
        </w:tc>
        <w:tc>
          <w:tcPr>
            <w:tcW w:w="0" w:type="auto"/>
          </w:tcPr>
          <w:p w14:paraId="136A1C64" w14:textId="77777777" w:rsidR="00E764AF" w:rsidRPr="00BE1584" w:rsidRDefault="002574A4">
            <w:pPr>
              <w:pStyle w:val="Compact"/>
              <w:jc w:val="center"/>
              <w:rPr>
                <w:sz w:val="20"/>
                <w:szCs w:val="20"/>
              </w:rPr>
            </w:pPr>
            <w:r w:rsidRPr="00BE1584">
              <w:rPr>
                <w:sz w:val="20"/>
                <w:szCs w:val="20"/>
              </w:rPr>
              <w:t>0.13</w:t>
            </w:r>
          </w:p>
        </w:tc>
        <w:tc>
          <w:tcPr>
            <w:tcW w:w="0" w:type="auto"/>
          </w:tcPr>
          <w:p w14:paraId="68CFD356" w14:textId="77777777" w:rsidR="00E764AF" w:rsidRPr="00BE1584" w:rsidRDefault="002574A4">
            <w:pPr>
              <w:pStyle w:val="Compact"/>
              <w:jc w:val="center"/>
              <w:rPr>
                <w:sz w:val="20"/>
                <w:szCs w:val="20"/>
              </w:rPr>
            </w:pPr>
            <w:r w:rsidRPr="00BE1584">
              <w:rPr>
                <w:sz w:val="20"/>
                <w:szCs w:val="20"/>
              </w:rPr>
              <w:t>0.13</w:t>
            </w:r>
          </w:p>
        </w:tc>
        <w:tc>
          <w:tcPr>
            <w:tcW w:w="0" w:type="auto"/>
          </w:tcPr>
          <w:p w14:paraId="07EB6E20" w14:textId="77777777" w:rsidR="00E764AF" w:rsidRPr="00BE1584" w:rsidRDefault="002574A4">
            <w:pPr>
              <w:pStyle w:val="Compact"/>
              <w:jc w:val="center"/>
              <w:rPr>
                <w:sz w:val="20"/>
                <w:szCs w:val="20"/>
              </w:rPr>
            </w:pPr>
            <w:r w:rsidRPr="00BE1584">
              <w:rPr>
                <w:sz w:val="20"/>
                <w:szCs w:val="20"/>
              </w:rPr>
              <w:t>0.14</w:t>
            </w:r>
          </w:p>
        </w:tc>
        <w:tc>
          <w:tcPr>
            <w:tcW w:w="0" w:type="auto"/>
          </w:tcPr>
          <w:p w14:paraId="6DEC79F8" w14:textId="77777777" w:rsidR="00E764AF" w:rsidRPr="00BE1584" w:rsidRDefault="002574A4">
            <w:pPr>
              <w:pStyle w:val="Compact"/>
              <w:jc w:val="center"/>
              <w:rPr>
                <w:sz w:val="20"/>
                <w:szCs w:val="20"/>
              </w:rPr>
            </w:pPr>
            <w:r w:rsidRPr="00BE1584">
              <w:rPr>
                <w:sz w:val="20"/>
                <w:szCs w:val="20"/>
              </w:rPr>
              <w:t>0.19</w:t>
            </w:r>
          </w:p>
        </w:tc>
      </w:tr>
      <w:tr w:rsidR="00E764AF" w14:paraId="23C880D2" w14:textId="77777777" w:rsidTr="00BE1584">
        <w:tc>
          <w:tcPr>
            <w:tcW w:w="0" w:type="auto"/>
          </w:tcPr>
          <w:p w14:paraId="17379342" w14:textId="77777777" w:rsidR="00E764AF" w:rsidRDefault="00083E65">
            <w:pPr>
              <w:pStyle w:val="Compact"/>
              <w:jc w:val="center"/>
            </w:pPr>
            <m:oMathPara>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m:oMathPara>
          </w:p>
        </w:tc>
        <w:tc>
          <w:tcPr>
            <w:tcW w:w="0" w:type="auto"/>
          </w:tcPr>
          <w:p w14:paraId="4A191228" w14:textId="77777777" w:rsidR="00E764AF" w:rsidRPr="00BE1584" w:rsidRDefault="002574A4">
            <w:pPr>
              <w:pStyle w:val="Compact"/>
              <w:jc w:val="center"/>
              <w:rPr>
                <w:sz w:val="20"/>
                <w:szCs w:val="20"/>
              </w:rPr>
            </w:pPr>
            <w:r w:rsidRPr="00BE1584">
              <w:rPr>
                <w:sz w:val="20"/>
                <w:szCs w:val="20"/>
              </w:rPr>
              <w:t>0</w:t>
            </w:r>
          </w:p>
        </w:tc>
        <w:tc>
          <w:tcPr>
            <w:tcW w:w="0" w:type="auto"/>
          </w:tcPr>
          <w:p w14:paraId="3EDA77CD" w14:textId="77777777" w:rsidR="00E764AF" w:rsidRPr="00BE1584" w:rsidRDefault="002574A4">
            <w:pPr>
              <w:pStyle w:val="Compact"/>
              <w:jc w:val="center"/>
              <w:rPr>
                <w:sz w:val="20"/>
                <w:szCs w:val="20"/>
              </w:rPr>
            </w:pPr>
            <w:r w:rsidRPr="00BE1584">
              <w:rPr>
                <w:sz w:val="20"/>
                <w:szCs w:val="20"/>
              </w:rPr>
              <w:t>0</w:t>
            </w:r>
          </w:p>
        </w:tc>
        <w:tc>
          <w:tcPr>
            <w:tcW w:w="0" w:type="auto"/>
          </w:tcPr>
          <w:p w14:paraId="5E32C332" w14:textId="77777777" w:rsidR="00E764AF" w:rsidRPr="00BE1584" w:rsidRDefault="002574A4">
            <w:pPr>
              <w:pStyle w:val="Compact"/>
              <w:jc w:val="center"/>
              <w:rPr>
                <w:sz w:val="20"/>
                <w:szCs w:val="20"/>
              </w:rPr>
            </w:pPr>
            <w:r w:rsidRPr="00BE1584">
              <w:rPr>
                <w:sz w:val="20"/>
                <w:szCs w:val="20"/>
              </w:rPr>
              <w:t>-0.01</w:t>
            </w:r>
          </w:p>
        </w:tc>
        <w:tc>
          <w:tcPr>
            <w:tcW w:w="0" w:type="auto"/>
          </w:tcPr>
          <w:p w14:paraId="5C773931" w14:textId="77777777" w:rsidR="00E764AF" w:rsidRPr="00BE1584" w:rsidRDefault="002574A4">
            <w:pPr>
              <w:pStyle w:val="Compact"/>
              <w:jc w:val="center"/>
              <w:rPr>
                <w:sz w:val="20"/>
                <w:szCs w:val="20"/>
              </w:rPr>
            </w:pPr>
            <w:r w:rsidRPr="00BE1584">
              <w:rPr>
                <w:sz w:val="20"/>
                <w:szCs w:val="20"/>
              </w:rPr>
              <w:t>-0.01</w:t>
            </w:r>
          </w:p>
        </w:tc>
        <w:tc>
          <w:tcPr>
            <w:tcW w:w="0" w:type="auto"/>
          </w:tcPr>
          <w:p w14:paraId="64D9F972" w14:textId="77777777" w:rsidR="00E764AF" w:rsidRPr="00BE1584" w:rsidRDefault="002574A4">
            <w:pPr>
              <w:pStyle w:val="Compact"/>
              <w:jc w:val="center"/>
              <w:rPr>
                <w:sz w:val="20"/>
                <w:szCs w:val="20"/>
              </w:rPr>
            </w:pPr>
            <w:r w:rsidRPr="00BE1584">
              <w:rPr>
                <w:sz w:val="20"/>
                <w:szCs w:val="20"/>
              </w:rPr>
              <w:t>0</w:t>
            </w:r>
          </w:p>
        </w:tc>
        <w:tc>
          <w:tcPr>
            <w:tcW w:w="0" w:type="auto"/>
          </w:tcPr>
          <w:p w14:paraId="194372CB" w14:textId="77777777" w:rsidR="00E764AF" w:rsidRPr="00BE1584" w:rsidRDefault="002574A4">
            <w:pPr>
              <w:pStyle w:val="Compact"/>
              <w:jc w:val="center"/>
              <w:rPr>
                <w:sz w:val="20"/>
                <w:szCs w:val="20"/>
              </w:rPr>
            </w:pPr>
            <w:r w:rsidRPr="00BE1584">
              <w:rPr>
                <w:sz w:val="20"/>
                <w:szCs w:val="20"/>
              </w:rPr>
              <w:t>0</w:t>
            </w:r>
          </w:p>
        </w:tc>
        <w:tc>
          <w:tcPr>
            <w:tcW w:w="0" w:type="auto"/>
          </w:tcPr>
          <w:p w14:paraId="4B978A32" w14:textId="77777777" w:rsidR="00E764AF" w:rsidRPr="00BE1584" w:rsidRDefault="002574A4">
            <w:pPr>
              <w:pStyle w:val="Compact"/>
              <w:jc w:val="center"/>
              <w:rPr>
                <w:sz w:val="20"/>
                <w:szCs w:val="20"/>
              </w:rPr>
            </w:pPr>
            <w:r w:rsidRPr="00BE1584">
              <w:rPr>
                <w:sz w:val="20"/>
                <w:szCs w:val="20"/>
              </w:rPr>
              <w:t>0</w:t>
            </w:r>
          </w:p>
        </w:tc>
        <w:tc>
          <w:tcPr>
            <w:tcW w:w="0" w:type="auto"/>
          </w:tcPr>
          <w:p w14:paraId="0F9D7FB3" w14:textId="77777777" w:rsidR="00E764AF" w:rsidRPr="00BE1584" w:rsidRDefault="002574A4">
            <w:pPr>
              <w:pStyle w:val="Compact"/>
              <w:jc w:val="center"/>
              <w:rPr>
                <w:sz w:val="20"/>
                <w:szCs w:val="20"/>
              </w:rPr>
            </w:pPr>
            <w:r w:rsidRPr="00BE1584">
              <w:rPr>
                <w:sz w:val="20"/>
                <w:szCs w:val="20"/>
              </w:rPr>
              <w:t>0</w:t>
            </w:r>
          </w:p>
        </w:tc>
        <w:tc>
          <w:tcPr>
            <w:tcW w:w="0" w:type="auto"/>
          </w:tcPr>
          <w:p w14:paraId="2838C035" w14:textId="77777777" w:rsidR="00E764AF" w:rsidRPr="00BE1584" w:rsidRDefault="002574A4">
            <w:pPr>
              <w:pStyle w:val="Compact"/>
              <w:jc w:val="center"/>
              <w:rPr>
                <w:sz w:val="20"/>
                <w:szCs w:val="20"/>
              </w:rPr>
            </w:pPr>
            <w:r w:rsidRPr="00BE1584">
              <w:rPr>
                <w:sz w:val="20"/>
                <w:szCs w:val="20"/>
              </w:rPr>
              <w:t>0</w:t>
            </w:r>
          </w:p>
        </w:tc>
        <w:tc>
          <w:tcPr>
            <w:tcW w:w="0" w:type="auto"/>
          </w:tcPr>
          <w:p w14:paraId="2432845A" w14:textId="77777777" w:rsidR="00E764AF" w:rsidRPr="00BE1584" w:rsidRDefault="002574A4">
            <w:pPr>
              <w:pStyle w:val="Compact"/>
              <w:jc w:val="center"/>
              <w:rPr>
                <w:sz w:val="20"/>
                <w:szCs w:val="20"/>
              </w:rPr>
            </w:pPr>
            <w:r w:rsidRPr="00BE1584">
              <w:rPr>
                <w:sz w:val="20"/>
                <w:szCs w:val="20"/>
              </w:rPr>
              <w:t>0</w:t>
            </w:r>
          </w:p>
        </w:tc>
        <w:tc>
          <w:tcPr>
            <w:tcW w:w="0" w:type="auto"/>
          </w:tcPr>
          <w:p w14:paraId="410C3508" w14:textId="77777777" w:rsidR="00E764AF" w:rsidRPr="00BE1584" w:rsidRDefault="002574A4">
            <w:pPr>
              <w:pStyle w:val="Compact"/>
              <w:jc w:val="center"/>
              <w:rPr>
                <w:sz w:val="20"/>
                <w:szCs w:val="20"/>
              </w:rPr>
            </w:pPr>
            <w:r w:rsidRPr="00BE1584">
              <w:rPr>
                <w:sz w:val="20"/>
                <w:szCs w:val="20"/>
              </w:rPr>
              <w:t>0</w:t>
            </w:r>
          </w:p>
        </w:tc>
        <w:tc>
          <w:tcPr>
            <w:tcW w:w="0" w:type="auto"/>
          </w:tcPr>
          <w:p w14:paraId="0C5B4090" w14:textId="77777777" w:rsidR="00E764AF" w:rsidRPr="00BE1584" w:rsidRDefault="002574A4">
            <w:pPr>
              <w:pStyle w:val="Compact"/>
              <w:jc w:val="center"/>
              <w:rPr>
                <w:sz w:val="20"/>
                <w:szCs w:val="20"/>
              </w:rPr>
            </w:pPr>
            <w:r w:rsidRPr="00BE1584">
              <w:rPr>
                <w:sz w:val="20"/>
                <w:szCs w:val="20"/>
              </w:rPr>
              <w:t>0.01</w:t>
            </w:r>
          </w:p>
        </w:tc>
      </w:tr>
      <w:tr w:rsidR="00E764AF" w14:paraId="6D4892A8" w14:textId="77777777" w:rsidTr="00BE1584">
        <w:tc>
          <w:tcPr>
            <w:tcW w:w="0" w:type="auto"/>
          </w:tcPr>
          <w:p w14:paraId="5E02CE15" w14:textId="77777777" w:rsidR="00E764AF" w:rsidRDefault="00083E65">
            <w:pPr>
              <w:pStyle w:val="Compact"/>
              <w:jc w:val="center"/>
            </w:pPr>
            <m:oMathPara>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m:oMathPara>
          </w:p>
        </w:tc>
        <w:tc>
          <w:tcPr>
            <w:tcW w:w="0" w:type="auto"/>
          </w:tcPr>
          <w:p w14:paraId="2CA8D4A5" w14:textId="77777777" w:rsidR="00E764AF" w:rsidRPr="00BE1584" w:rsidRDefault="002574A4">
            <w:pPr>
              <w:pStyle w:val="Compact"/>
              <w:jc w:val="center"/>
              <w:rPr>
                <w:sz w:val="20"/>
                <w:szCs w:val="20"/>
              </w:rPr>
            </w:pPr>
            <w:r w:rsidRPr="00BE1584">
              <w:rPr>
                <w:sz w:val="20"/>
                <w:szCs w:val="20"/>
              </w:rPr>
              <w:t>0.17</w:t>
            </w:r>
          </w:p>
        </w:tc>
        <w:tc>
          <w:tcPr>
            <w:tcW w:w="0" w:type="auto"/>
          </w:tcPr>
          <w:p w14:paraId="63F28FB0" w14:textId="77777777" w:rsidR="00E764AF" w:rsidRPr="00BE1584" w:rsidRDefault="002574A4">
            <w:pPr>
              <w:pStyle w:val="Compact"/>
              <w:jc w:val="center"/>
              <w:rPr>
                <w:sz w:val="20"/>
                <w:szCs w:val="20"/>
              </w:rPr>
            </w:pPr>
            <w:r w:rsidRPr="00BE1584">
              <w:rPr>
                <w:sz w:val="20"/>
                <w:szCs w:val="20"/>
              </w:rPr>
              <w:t>0.22</w:t>
            </w:r>
          </w:p>
        </w:tc>
        <w:tc>
          <w:tcPr>
            <w:tcW w:w="0" w:type="auto"/>
          </w:tcPr>
          <w:p w14:paraId="6B7F334B" w14:textId="77777777" w:rsidR="00E764AF" w:rsidRPr="00BE1584" w:rsidRDefault="002574A4">
            <w:pPr>
              <w:pStyle w:val="Compact"/>
              <w:jc w:val="center"/>
              <w:rPr>
                <w:sz w:val="20"/>
                <w:szCs w:val="20"/>
              </w:rPr>
            </w:pPr>
            <w:r w:rsidRPr="00BE1584">
              <w:rPr>
                <w:sz w:val="20"/>
                <w:szCs w:val="20"/>
              </w:rPr>
              <w:t>0.22</w:t>
            </w:r>
          </w:p>
        </w:tc>
        <w:tc>
          <w:tcPr>
            <w:tcW w:w="0" w:type="auto"/>
          </w:tcPr>
          <w:p w14:paraId="09DFB4B8" w14:textId="77777777" w:rsidR="00E764AF" w:rsidRPr="00BE1584" w:rsidRDefault="002574A4">
            <w:pPr>
              <w:pStyle w:val="Compact"/>
              <w:jc w:val="center"/>
              <w:rPr>
                <w:sz w:val="20"/>
                <w:szCs w:val="20"/>
              </w:rPr>
            </w:pPr>
            <w:r w:rsidRPr="00BE1584">
              <w:rPr>
                <w:sz w:val="20"/>
                <w:szCs w:val="20"/>
              </w:rPr>
              <w:t>0.13</w:t>
            </w:r>
          </w:p>
        </w:tc>
        <w:tc>
          <w:tcPr>
            <w:tcW w:w="0" w:type="auto"/>
          </w:tcPr>
          <w:p w14:paraId="66249CAE" w14:textId="77777777" w:rsidR="00E764AF" w:rsidRPr="00BE1584" w:rsidRDefault="002574A4">
            <w:pPr>
              <w:pStyle w:val="Compact"/>
              <w:jc w:val="center"/>
              <w:rPr>
                <w:sz w:val="20"/>
                <w:szCs w:val="20"/>
              </w:rPr>
            </w:pPr>
            <w:r w:rsidRPr="00BE1584">
              <w:rPr>
                <w:sz w:val="20"/>
                <w:szCs w:val="20"/>
              </w:rPr>
              <w:t>0.03</w:t>
            </w:r>
          </w:p>
        </w:tc>
        <w:tc>
          <w:tcPr>
            <w:tcW w:w="0" w:type="auto"/>
          </w:tcPr>
          <w:p w14:paraId="259BB500" w14:textId="77777777" w:rsidR="00E764AF" w:rsidRPr="00BE1584" w:rsidRDefault="002574A4">
            <w:pPr>
              <w:pStyle w:val="Compact"/>
              <w:jc w:val="center"/>
              <w:rPr>
                <w:sz w:val="20"/>
                <w:szCs w:val="20"/>
              </w:rPr>
            </w:pPr>
            <w:r w:rsidRPr="00BE1584">
              <w:rPr>
                <w:sz w:val="20"/>
                <w:szCs w:val="20"/>
              </w:rPr>
              <w:t>0</w:t>
            </w:r>
          </w:p>
        </w:tc>
        <w:tc>
          <w:tcPr>
            <w:tcW w:w="0" w:type="auto"/>
          </w:tcPr>
          <w:p w14:paraId="617B8927" w14:textId="77777777" w:rsidR="00E764AF" w:rsidRPr="00BE1584" w:rsidRDefault="002574A4">
            <w:pPr>
              <w:pStyle w:val="Compact"/>
              <w:jc w:val="center"/>
              <w:rPr>
                <w:sz w:val="20"/>
                <w:szCs w:val="20"/>
              </w:rPr>
            </w:pPr>
            <w:r w:rsidRPr="00BE1584">
              <w:rPr>
                <w:sz w:val="20"/>
                <w:szCs w:val="20"/>
              </w:rPr>
              <w:t>0</w:t>
            </w:r>
          </w:p>
        </w:tc>
        <w:tc>
          <w:tcPr>
            <w:tcW w:w="0" w:type="auto"/>
          </w:tcPr>
          <w:p w14:paraId="5B499A4C" w14:textId="77777777" w:rsidR="00E764AF" w:rsidRPr="00BE1584" w:rsidRDefault="002574A4">
            <w:pPr>
              <w:pStyle w:val="Compact"/>
              <w:jc w:val="center"/>
              <w:rPr>
                <w:sz w:val="20"/>
                <w:szCs w:val="20"/>
              </w:rPr>
            </w:pPr>
            <w:r w:rsidRPr="00BE1584">
              <w:rPr>
                <w:sz w:val="20"/>
                <w:szCs w:val="20"/>
              </w:rPr>
              <w:t>0</w:t>
            </w:r>
          </w:p>
        </w:tc>
        <w:tc>
          <w:tcPr>
            <w:tcW w:w="0" w:type="auto"/>
          </w:tcPr>
          <w:p w14:paraId="31B13C7D" w14:textId="77777777" w:rsidR="00E764AF" w:rsidRPr="00BE1584" w:rsidRDefault="002574A4">
            <w:pPr>
              <w:pStyle w:val="Compact"/>
              <w:jc w:val="center"/>
              <w:rPr>
                <w:sz w:val="20"/>
                <w:szCs w:val="20"/>
              </w:rPr>
            </w:pPr>
            <w:r w:rsidRPr="00BE1584">
              <w:rPr>
                <w:sz w:val="20"/>
                <w:szCs w:val="20"/>
              </w:rPr>
              <w:t>0</w:t>
            </w:r>
          </w:p>
        </w:tc>
        <w:tc>
          <w:tcPr>
            <w:tcW w:w="0" w:type="auto"/>
          </w:tcPr>
          <w:p w14:paraId="776A49F2" w14:textId="77777777" w:rsidR="00E764AF" w:rsidRPr="00BE1584" w:rsidRDefault="002574A4">
            <w:pPr>
              <w:pStyle w:val="Compact"/>
              <w:jc w:val="center"/>
              <w:rPr>
                <w:sz w:val="20"/>
                <w:szCs w:val="20"/>
              </w:rPr>
            </w:pPr>
            <w:r w:rsidRPr="00BE1584">
              <w:rPr>
                <w:sz w:val="20"/>
                <w:szCs w:val="20"/>
              </w:rPr>
              <w:t>0</w:t>
            </w:r>
          </w:p>
        </w:tc>
        <w:tc>
          <w:tcPr>
            <w:tcW w:w="0" w:type="auto"/>
          </w:tcPr>
          <w:p w14:paraId="43A3AE24" w14:textId="77777777" w:rsidR="00E764AF" w:rsidRPr="00BE1584" w:rsidRDefault="002574A4">
            <w:pPr>
              <w:pStyle w:val="Compact"/>
              <w:jc w:val="center"/>
              <w:rPr>
                <w:sz w:val="20"/>
                <w:szCs w:val="20"/>
              </w:rPr>
            </w:pPr>
            <w:r w:rsidRPr="00BE1584">
              <w:rPr>
                <w:sz w:val="20"/>
                <w:szCs w:val="20"/>
              </w:rPr>
              <w:t>0.02</w:t>
            </w:r>
          </w:p>
        </w:tc>
        <w:tc>
          <w:tcPr>
            <w:tcW w:w="0" w:type="auto"/>
          </w:tcPr>
          <w:p w14:paraId="795C8433" w14:textId="77777777" w:rsidR="00E764AF" w:rsidRPr="00BE1584" w:rsidRDefault="002574A4">
            <w:pPr>
              <w:pStyle w:val="Compact"/>
              <w:jc w:val="center"/>
              <w:rPr>
                <w:sz w:val="20"/>
                <w:szCs w:val="20"/>
              </w:rPr>
            </w:pPr>
            <w:r w:rsidRPr="00BE1584">
              <w:rPr>
                <w:sz w:val="20"/>
                <w:szCs w:val="20"/>
              </w:rPr>
              <w:t>0.08</w:t>
            </w:r>
          </w:p>
        </w:tc>
      </w:tr>
      <w:tr w:rsidR="00E764AF" w14:paraId="072DBD9F" w14:textId="77777777" w:rsidTr="00BE1584">
        <w:tc>
          <w:tcPr>
            <w:tcW w:w="0" w:type="auto"/>
          </w:tcPr>
          <w:p w14:paraId="142F3A3C" w14:textId="77777777" w:rsidR="00E764AF" w:rsidRDefault="00083E65">
            <w:pPr>
              <w:pStyle w:val="Compact"/>
              <w:jc w:val="center"/>
            </w:pPr>
            <m:oMathPara>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m:oMathPara>
          </w:p>
        </w:tc>
        <w:tc>
          <w:tcPr>
            <w:tcW w:w="0" w:type="auto"/>
          </w:tcPr>
          <w:p w14:paraId="72D9C55E" w14:textId="77777777" w:rsidR="00E764AF" w:rsidRPr="00BE1584" w:rsidRDefault="002574A4">
            <w:pPr>
              <w:pStyle w:val="Compact"/>
              <w:jc w:val="center"/>
              <w:rPr>
                <w:sz w:val="20"/>
                <w:szCs w:val="20"/>
              </w:rPr>
            </w:pPr>
            <w:r w:rsidRPr="00BE1584">
              <w:rPr>
                <w:sz w:val="20"/>
                <w:szCs w:val="20"/>
              </w:rPr>
              <w:t>0.56</w:t>
            </w:r>
          </w:p>
        </w:tc>
        <w:tc>
          <w:tcPr>
            <w:tcW w:w="0" w:type="auto"/>
          </w:tcPr>
          <w:p w14:paraId="2775A27B" w14:textId="77777777" w:rsidR="00E764AF" w:rsidRPr="00BE1584" w:rsidRDefault="002574A4">
            <w:pPr>
              <w:pStyle w:val="Compact"/>
              <w:jc w:val="center"/>
              <w:rPr>
                <w:sz w:val="20"/>
                <w:szCs w:val="20"/>
              </w:rPr>
            </w:pPr>
            <w:r w:rsidRPr="00BE1584">
              <w:rPr>
                <w:sz w:val="20"/>
                <w:szCs w:val="20"/>
              </w:rPr>
              <w:t>0.48</w:t>
            </w:r>
          </w:p>
        </w:tc>
        <w:tc>
          <w:tcPr>
            <w:tcW w:w="0" w:type="auto"/>
          </w:tcPr>
          <w:p w14:paraId="66E721EC" w14:textId="77777777" w:rsidR="00E764AF" w:rsidRPr="00BE1584" w:rsidRDefault="002574A4">
            <w:pPr>
              <w:pStyle w:val="Compact"/>
              <w:jc w:val="center"/>
              <w:rPr>
                <w:sz w:val="20"/>
                <w:szCs w:val="20"/>
              </w:rPr>
            </w:pPr>
            <w:r w:rsidRPr="00BE1584">
              <w:rPr>
                <w:sz w:val="20"/>
                <w:szCs w:val="20"/>
              </w:rPr>
              <w:t>0.47</w:t>
            </w:r>
          </w:p>
        </w:tc>
        <w:tc>
          <w:tcPr>
            <w:tcW w:w="0" w:type="auto"/>
          </w:tcPr>
          <w:p w14:paraId="4C0D4163" w14:textId="77777777" w:rsidR="00E764AF" w:rsidRPr="00BE1584" w:rsidRDefault="002574A4">
            <w:pPr>
              <w:pStyle w:val="Compact"/>
              <w:jc w:val="center"/>
              <w:rPr>
                <w:sz w:val="20"/>
                <w:szCs w:val="20"/>
              </w:rPr>
            </w:pPr>
            <w:r w:rsidRPr="00BE1584">
              <w:rPr>
                <w:sz w:val="20"/>
                <w:szCs w:val="20"/>
              </w:rPr>
              <w:t>0.61</w:t>
            </w:r>
          </w:p>
        </w:tc>
        <w:tc>
          <w:tcPr>
            <w:tcW w:w="0" w:type="auto"/>
          </w:tcPr>
          <w:p w14:paraId="339246F6" w14:textId="77777777" w:rsidR="00E764AF" w:rsidRPr="00BE1584" w:rsidRDefault="002574A4">
            <w:pPr>
              <w:pStyle w:val="Compact"/>
              <w:jc w:val="center"/>
              <w:rPr>
                <w:sz w:val="20"/>
                <w:szCs w:val="20"/>
              </w:rPr>
            </w:pPr>
            <w:r w:rsidRPr="00BE1584">
              <w:rPr>
                <w:sz w:val="20"/>
                <w:szCs w:val="20"/>
              </w:rPr>
              <w:t>0.80</w:t>
            </w:r>
          </w:p>
        </w:tc>
        <w:tc>
          <w:tcPr>
            <w:tcW w:w="0" w:type="auto"/>
          </w:tcPr>
          <w:p w14:paraId="0DB91699" w14:textId="77777777" w:rsidR="00E764AF" w:rsidRPr="00BE1584" w:rsidRDefault="002574A4">
            <w:pPr>
              <w:pStyle w:val="Compact"/>
              <w:jc w:val="center"/>
              <w:rPr>
                <w:sz w:val="20"/>
                <w:szCs w:val="20"/>
              </w:rPr>
            </w:pPr>
            <w:r w:rsidRPr="00BE1584">
              <w:rPr>
                <w:sz w:val="20"/>
                <w:szCs w:val="20"/>
              </w:rPr>
              <w:t>0.86</w:t>
            </w:r>
          </w:p>
        </w:tc>
        <w:tc>
          <w:tcPr>
            <w:tcW w:w="0" w:type="auto"/>
          </w:tcPr>
          <w:p w14:paraId="10A4AD26" w14:textId="77777777" w:rsidR="00E764AF" w:rsidRPr="00BE1584" w:rsidRDefault="002574A4">
            <w:pPr>
              <w:pStyle w:val="Compact"/>
              <w:jc w:val="center"/>
              <w:rPr>
                <w:sz w:val="20"/>
                <w:szCs w:val="20"/>
              </w:rPr>
            </w:pPr>
            <w:r w:rsidRPr="00BE1584">
              <w:rPr>
                <w:sz w:val="20"/>
                <w:szCs w:val="20"/>
              </w:rPr>
              <w:t>0.87</w:t>
            </w:r>
          </w:p>
        </w:tc>
        <w:tc>
          <w:tcPr>
            <w:tcW w:w="0" w:type="auto"/>
          </w:tcPr>
          <w:p w14:paraId="18933BCF" w14:textId="77777777" w:rsidR="00E764AF" w:rsidRPr="00BE1584" w:rsidRDefault="002574A4">
            <w:pPr>
              <w:pStyle w:val="Compact"/>
              <w:jc w:val="center"/>
              <w:rPr>
                <w:sz w:val="20"/>
                <w:szCs w:val="20"/>
              </w:rPr>
            </w:pPr>
            <w:r w:rsidRPr="00BE1584">
              <w:rPr>
                <w:sz w:val="20"/>
                <w:szCs w:val="20"/>
              </w:rPr>
              <w:t>0.88</w:t>
            </w:r>
          </w:p>
        </w:tc>
        <w:tc>
          <w:tcPr>
            <w:tcW w:w="0" w:type="auto"/>
          </w:tcPr>
          <w:p w14:paraId="636A4618" w14:textId="77777777" w:rsidR="00E764AF" w:rsidRPr="00BE1584" w:rsidRDefault="002574A4">
            <w:pPr>
              <w:pStyle w:val="Compact"/>
              <w:jc w:val="center"/>
              <w:rPr>
                <w:sz w:val="20"/>
                <w:szCs w:val="20"/>
              </w:rPr>
            </w:pPr>
            <w:r w:rsidRPr="00BE1584">
              <w:rPr>
                <w:sz w:val="20"/>
                <w:szCs w:val="20"/>
              </w:rPr>
              <w:t>0.88</w:t>
            </w:r>
          </w:p>
        </w:tc>
        <w:tc>
          <w:tcPr>
            <w:tcW w:w="0" w:type="auto"/>
          </w:tcPr>
          <w:p w14:paraId="7F0FF502" w14:textId="77777777" w:rsidR="00E764AF" w:rsidRPr="00BE1584" w:rsidRDefault="002574A4">
            <w:pPr>
              <w:pStyle w:val="Compact"/>
              <w:jc w:val="center"/>
              <w:rPr>
                <w:sz w:val="20"/>
                <w:szCs w:val="20"/>
              </w:rPr>
            </w:pPr>
            <w:r w:rsidRPr="00BE1584">
              <w:rPr>
                <w:sz w:val="20"/>
                <w:szCs w:val="20"/>
              </w:rPr>
              <w:t>0.88</w:t>
            </w:r>
          </w:p>
        </w:tc>
        <w:tc>
          <w:tcPr>
            <w:tcW w:w="0" w:type="auto"/>
          </w:tcPr>
          <w:p w14:paraId="22375C51" w14:textId="77777777" w:rsidR="00E764AF" w:rsidRPr="00BE1584" w:rsidRDefault="002574A4">
            <w:pPr>
              <w:pStyle w:val="Compact"/>
              <w:jc w:val="center"/>
              <w:rPr>
                <w:sz w:val="20"/>
                <w:szCs w:val="20"/>
              </w:rPr>
            </w:pPr>
            <w:r w:rsidRPr="00BE1584">
              <w:rPr>
                <w:sz w:val="20"/>
                <w:szCs w:val="20"/>
              </w:rPr>
              <w:t>0.85</w:t>
            </w:r>
          </w:p>
        </w:tc>
        <w:tc>
          <w:tcPr>
            <w:tcW w:w="0" w:type="auto"/>
          </w:tcPr>
          <w:p w14:paraId="40DD5C61" w14:textId="77777777" w:rsidR="00E764AF" w:rsidRPr="00BE1584" w:rsidRDefault="002574A4">
            <w:pPr>
              <w:pStyle w:val="Compact"/>
              <w:jc w:val="center"/>
              <w:rPr>
                <w:sz w:val="20"/>
                <w:szCs w:val="20"/>
              </w:rPr>
            </w:pPr>
            <w:r w:rsidRPr="00BE1584">
              <w:rPr>
                <w:sz w:val="20"/>
                <w:szCs w:val="20"/>
              </w:rPr>
              <w:t>0.73</w:t>
            </w:r>
          </w:p>
        </w:tc>
      </w:tr>
    </w:tbl>
    <w:p w14:paraId="6D693D01" w14:textId="77777777" w:rsidR="00E764AF" w:rsidRDefault="002574A4" w:rsidP="0043363A">
      <w:pPr>
        <w:pStyle w:val="2"/>
      </w:pPr>
      <w:bookmarkStart w:id="10" w:name="conclusions"/>
      <w:bookmarkEnd w:id="8"/>
      <w:r>
        <w:lastRenderedPageBreak/>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195D1E10" w:rsidR="00702813" w:rsidRDefault="002574A4" w:rsidP="00702813">
      <w:pPr>
        <w:pStyle w:val="a0"/>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rsidR="005E32CA">
        <w:t xml:space="preserve">probably </w:t>
      </w:r>
      <w:r>
        <w:t>do not have primary importance to TA transfer from the Wadden Sea to the German Bight.</w:t>
      </w:r>
    </w:p>
    <w:p w14:paraId="2BB94355" w14:textId="22C3348E" w:rsidR="00702813" w:rsidRDefault="00702813" w:rsidP="00702813">
      <w:pPr>
        <w:pStyle w:val="a0"/>
      </w:pPr>
      <w:r>
        <w:t>According to our calculations, the maximum year TA increase</w:t>
      </w:r>
      <w:r w:rsidR="00597D63">
        <w:t xml:space="preserve"> </w:t>
      </w:r>
      <w:r>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 xml:space="preserve">. </w:t>
      </w:r>
      <w:r w:rsidR="002021FA">
        <w:t xml:space="preserve">It is comparable with the measured surface alkalinity deviations in the German Bight (up to 200 μM) during a year (Fig. I1, blue line). </w:t>
      </w:r>
      <w:r>
        <w:t xml:space="preserve">We calculated alkalinity generation in the </w:t>
      </w:r>
      <w:r w:rsidR="00597D63">
        <w:t>Wadden Sea sediments,</w:t>
      </w:r>
      <w:r>
        <w:t xml:space="preserve"> taking local OM production and OM advective inflow into account. </w:t>
      </w:r>
      <w:r w:rsidR="0036555D">
        <w:t>S</w:t>
      </w:r>
      <w:r>
        <w:t xml:space="preserve">ulfate reduction is the main contributor to this TA increase. Oxidation of reduced sulfur compound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w:t>
      </w:r>
    </w:p>
    <w:p w14:paraId="3DABAB83" w14:textId="2350EAF1" w:rsidR="00E764AF" w:rsidRDefault="002574A4">
      <w:pPr>
        <w:pStyle w:val="a0"/>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7AAAC519" w:rsidR="00781D8B" w:rsidRDefault="002574A4">
      <w:pPr>
        <w:pStyle w:val="a0"/>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concentration in the water column depends on the ratio of </w:t>
      </w:r>
      <m:oMath>
        <m:r>
          <m:rPr>
            <m:nor/>
          </m:rPr>
          <m:t>TA</m:t>
        </m:r>
      </m:oMath>
      <w:r>
        <w:t xml:space="preserve"> flux through the SWI to the reduced sulfur compound flux through the SWI. This ratio changes with mixing regimes and through time and can cause either an increase or decrease of </w:t>
      </w:r>
      <m:oMath>
        <m:r>
          <m:rPr>
            <m:nor/>
          </m:rPr>
          <m:t>TA</m:t>
        </m:r>
      </m:oMath>
      <w:r>
        <w:t xml:space="preserve"> in the water column.</w:t>
      </w:r>
      <w:bookmarkEnd w:id="0"/>
      <w:bookmarkEnd w:id="6"/>
      <w:bookmarkEnd w:id="10"/>
    </w:p>
    <w:p w14:paraId="14425268" w14:textId="59019AE0" w:rsidR="000418DA" w:rsidRDefault="000418DA" w:rsidP="00FE16F7">
      <w:pPr>
        <w:pStyle w:val="2"/>
      </w:pPr>
      <w:r>
        <w:t>Supplementary materials</w:t>
      </w:r>
    </w:p>
    <w:p w14:paraId="71B4E27B" w14:textId="61820477" w:rsidR="000418DA" w:rsidRPr="000418DA" w:rsidRDefault="00083E65">
      <w:pPr>
        <w:pStyle w:val="a0"/>
      </w:pPr>
      <w:hyperlink r:id="rId12" w:history="1">
        <w:r w:rsidR="000418DA" w:rsidRPr="00665653">
          <w:rPr>
            <w:rStyle w:val="ad"/>
          </w:rPr>
          <w:t>https://github.com/limash/Alkalinity_in_the_Wadden_Sea</w:t>
        </w:r>
      </w:hyperlink>
    </w:p>
    <w:p w14:paraId="7F6D8976" w14:textId="235ABF0D" w:rsidR="00ED3E2A" w:rsidRDefault="00ED3E2A" w:rsidP="00ED3E2A">
      <w:pPr>
        <w:pStyle w:val="2"/>
      </w:pPr>
      <w:r>
        <w:t>References</w:t>
      </w:r>
    </w:p>
    <w:p w14:paraId="752845FF" w14:textId="77777777" w:rsidR="00ED3E2A" w:rsidRPr="00ED3E2A" w:rsidRDefault="00ED3E2A" w:rsidP="00ED3E2A">
      <w:pPr>
        <w:pStyle w:val="a7"/>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a7"/>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a7"/>
        <w:rPr>
          <w:rFonts w:ascii="Cambria" w:hAnsi="Cambria"/>
        </w:rPr>
      </w:pPr>
      <w:r w:rsidRPr="00ED3E2A">
        <w:rPr>
          <w:rFonts w:ascii="Cambria" w:hAnsi="Cambria"/>
        </w:rPr>
        <w:lastRenderedPageBreak/>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a7"/>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a7"/>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a7"/>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a7"/>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a7"/>
        <w:rPr>
          <w:rFonts w:ascii="Cambria" w:hAnsi="Cambria"/>
        </w:rPr>
      </w:pPr>
      <w:r w:rsidRPr="00ED3E2A">
        <w:rPr>
          <w:rFonts w:ascii="Cambria" w:hAnsi="Cambria"/>
        </w:rPr>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a7"/>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a7"/>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a7"/>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a7"/>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a7"/>
        <w:rPr>
          <w:rFonts w:ascii="Cambria" w:hAnsi="Cambria"/>
          <w:lang w:val="de-DE"/>
        </w:rPr>
      </w:pPr>
      <w:r w:rsidRPr="00ED3E2A">
        <w:rPr>
          <w:rFonts w:ascii="Cambria" w:hAnsi="Cambria"/>
        </w:rPr>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a7"/>
        <w:rPr>
          <w:rFonts w:ascii="Cambria" w:hAnsi="Cambria"/>
        </w:rPr>
      </w:pPr>
      <w:r w:rsidRPr="00ED3E2A">
        <w:rPr>
          <w:rFonts w:ascii="Cambria" w:hAnsi="Cambria"/>
          <w:lang w:val="de-DE"/>
        </w:rPr>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a7"/>
        <w:rPr>
          <w:rFonts w:ascii="Cambria" w:hAnsi="Cambria"/>
        </w:rPr>
      </w:pPr>
      <w:r w:rsidRPr="00ED3E2A">
        <w:rPr>
          <w:rFonts w:ascii="Cambria" w:hAnsi="Cambria"/>
        </w:rPr>
        <w:lastRenderedPageBreak/>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a7"/>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a7"/>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58EEE0BA" w14:textId="77777777" w:rsidR="00ED3E2A" w:rsidRPr="00ED3E2A" w:rsidRDefault="00ED3E2A" w:rsidP="00ED3E2A">
      <w:pPr>
        <w:pStyle w:val="a7"/>
        <w:rPr>
          <w:rFonts w:ascii="Cambria" w:hAnsi="Cambria"/>
        </w:rPr>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p>
    <w:p w14:paraId="283F66E2" w14:textId="53C73D41" w:rsidR="00ED3E2A" w:rsidRDefault="00ED3E2A">
      <w:pPr>
        <w:pStyle w:val="a0"/>
      </w:pPr>
      <w:r>
        <w:fldChar w:fldCharType="end"/>
      </w:r>
    </w:p>
    <w:sectPr w:rsidR="00ED3E2A">
      <w:pgSz w:w="12240" w:h="15840"/>
      <w:pgMar w:top="1417" w:right="1417" w:bottom="1134" w:left="1417"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B41B" w16cex:dateUtc="2020-12-01T11:22:00Z"/>
  <w16cex:commentExtensible w16cex:durableId="2370BEA7" w16cex:dateUtc="2020-12-01T12:03:00Z"/>
  <w16cex:commentExtensible w16cex:durableId="2370BD97" w16cex:dateUtc="2020-12-01T12:03:00Z"/>
  <w16cex:commentExtensible w16cex:durableId="237A5BFD" w16cex:dateUtc="2020-12-08T19:09:00Z"/>
  <w16cex:commentExtensible w16cex:durableId="2386754B" w16cex:dateUtc="2020-12-17T23:24:00Z"/>
  <w16cex:commentExtensible w16cex:durableId="238675C8" w16cex:dateUtc="2020-12-17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55AB2A" w16cid:durableId="2370B41B"/>
  <w16cid:commentId w16cid:paraId="51102FCA" w16cid:durableId="2370BEA7"/>
  <w16cid:commentId w16cid:paraId="533DF05F" w16cid:durableId="2370BD97"/>
  <w16cid:commentId w16cid:paraId="2742EFFC" w16cid:durableId="237A5BFD"/>
  <w16cid:commentId w16cid:paraId="3C725734" w16cid:durableId="2386754B"/>
  <w16cid:commentId w16cid:paraId="72BFF73C" w16cid:durableId="238675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61EE8" w14:textId="77777777" w:rsidR="00083E65" w:rsidRDefault="00083E65">
      <w:pPr>
        <w:spacing w:after="0"/>
      </w:pPr>
      <w:r>
        <w:separator/>
      </w:r>
    </w:p>
  </w:endnote>
  <w:endnote w:type="continuationSeparator" w:id="0">
    <w:p w14:paraId="08E8C730" w14:textId="77777777" w:rsidR="00083E65" w:rsidRDefault="00083E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50214" w14:textId="77777777" w:rsidR="00083E65" w:rsidRDefault="00083E65">
      <w:r>
        <w:separator/>
      </w:r>
    </w:p>
  </w:footnote>
  <w:footnote w:type="continuationSeparator" w:id="0">
    <w:p w14:paraId="403B12C3" w14:textId="77777777" w:rsidR="00083E65" w:rsidRDefault="00083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2F2"/>
    <w:multiLevelType w:val="hybridMultilevel"/>
    <w:tmpl w:val="0EB0E624"/>
    <w:lvl w:ilvl="0" w:tplc="8DCEC188">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8"/>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8"/>
  </w:num>
  <w:num w:numId="16">
    <w:abstractNumId w:val="10"/>
  </w:num>
  <w:num w:numId="17">
    <w:abstractNumId w:val="2"/>
  </w:num>
  <w:num w:numId="18">
    <w:abstractNumId w:val="9"/>
  </w:num>
  <w:num w:numId="19">
    <w:abstractNumId w:val="5"/>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131078" w:nlCheck="1" w:checkStyle="1"/>
  <w:activeWritingStyle w:appName="MSWord" w:lang="ru-RU"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sTQytbAwMjcwNTJT0lEKTi0uzszPAykwNqgFADFNw8ktAAAA"/>
  </w:docVars>
  <w:rsids>
    <w:rsidRoot w:val="00590D07"/>
    <w:rsid w:val="000002D4"/>
    <w:rsid w:val="00003960"/>
    <w:rsid w:val="00004A53"/>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18DA"/>
    <w:rsid w:val="000462D2"/>
    <w:rsid w:val="00047085"/>
    <w:rsid w:val="00047F3A"/>
    <w:rsid w:val="00053810"/>
    <w:rsid w:val="00053C34"/>
    <w:rsid w:val="000572D9"/>
    <w:rsid w:val="0006132D"/>
    <w:rsid w:val="000613BE"/>
    <w:rsid w:val="00063601"/>
    <w:rsid w:val="00064D26"/>
    <w:rsid w:val="0006556C"/>
    <w:rsid w:val="00070DDF"/>
    <w:rsid w:val="0007315B"/>
    <w:rsid w:val="00074A1E"/>
    <w:rsid w:val="00075F10"/>
    <w:rsid w:val="00077A8F"/>
    <w:rsid w:val="00083E65"/>
    <w:rsid w:val="00086386"/>
    <w:rsid w:val="00087304"/>
    <w:rsid w:val="0009031F"/>
    <w:rsid w:val="00090379"/>
    <w:rsid w:val="00090776"/>
    <w:rsid w:val="0009325B"/>
    <w:rsid w:val="000942BF"/>
    <w:rsid w:val="0009628D"/>
    <w:rsid w:val="00096D50"/>
    <w:rsid w:val="0009761D"/>
    <w:rsid w:val="000A021C"/>
    <w:rsid w:val="000A12EB"/>
    <w:rsid w:val="000A49E2"/>
    <w:rsid w:val="000A7120"/>
    <w:rsid w:val="000A7588"/>
    <w:rsid w:val="000B034E"/>
    <w:rsid w:val="000B1A27"/>
    <w:rsid w:val="000B20A6"/>
    <w:rsid w:val="000B53B7"/>
    <w:rsid w:val="000B59FD"/>
    <w:rsid w:val="000B621A"/>
    <w:rsid w:val="000B65CE"/>
    <w:rsid w:val="000C07F3"/>
    <w:rsid w:val="000C1BC9"/>
    <w:rsid w:val="000C2951"/>
    <w:rsid w:val="000C48E1"/>
    <w:rsid w:val="000C5638"/>
    <w:rsid w:val="000C60FF"/>
    <w:rsid w:val="000D0BC9"/>
    <w:rsid w:val="000D2733"/>
    <w:rsid w:val="000D4109"/>
    <w:rsid w:val="000D5302"/>
    <w:rsid w:val="000D673F"/>
    <w:rsid w:val="000D70C9"/>
    <w:rsid w:val="000E0301"/>
    <w:rsid w:val="000E0969"/>
    <w:rsid w:val="000E3F6F"/>
    <w:rsid w:val="000E5BD1"/>
    <w:rsid w:val="000E5FB9"/>
    <w:rsid w:val="000E7612"/>
    <w:rsid w:val="000F088F"/>
    <w:rsid w:val="000F1BD1"/>
    <w:rsid w:val="000F28E5"/>
    <w:rsid w:val="000F2AC3"/>
    <w:rsid w:val="000F2BEF"/>
    <w:rsid w:val="000F6027"/>
    <w:rsid w:val="000F6686"/>
    <w:rsid w:val="00101AF2"/>
    <w:rsid w:val="00104B03"/>
    <w:rsid w:val="00104C39"/>
    <w:rsid w:val="00104D9B"/>
    <w:rsid w:val="00107160"/>
    <w:rsid w:val="00107E9F"/>
    <w:rsid w:val="0011259A"/>
    <w:rsid w:val="00116B10"/>
    <w:rsid w:val="001177DD"/>
    <w:rsid w:val="00117D7F"/>
    <w:rsid w:val="00122397"/>
    <w:rsid w:val="00122C75"/>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1BB7"/>
    <w:rsid w:val="0017203D"/>
    <w:rsid w:val="00174C68"/>
    <w:rsid w:val="00176F93"/>
    <w:rsid w:val="00183640"/>
    <w:rsid w:val="00185370"/>
    <w:rsid w:val="00187B9F"/>
    <w:rsid w:val="00192B56"/>
    <w:rsid w:val="00192BB5"/>
    <w:rsid w:val="00192DAC"/>
    <w:rsid w:val="001933B5"/>
    <w:rsid w:val="00193C4F"/>
    <w:rsid w:val="00193E91"/>
    <w:rsid w:val="00193FB6"/>
    <w:rsid w:val="00197C7B"/>
    <w:rsid w:val="001A0C50"/>
    <w:rsid w:val="001A1A22"/>
    <w:rsid w:val="001A260C"/>
    <w:rsid w:val="001A2B84"/>
    <w:rsid w:val="001A31BC"/>
    <w:rsid w:val="001A48C9"/>
    <w:rsid w:val="001A6429"/>
    <w:rsid w:val="001B2239"/>
    <w:rsid w:val="001B2BFA"/>
    <w:rsid w:val="001B5AC3"/>
    <w:rsid w:val="001B69CB"/>
    <w:rsid w:val="001B77F4"/>
    <w:rsid w:val="001C17F9"/>
    <w:rsid w:val="001C2AD4"/>
    <w:rsid w:val="001C2E4E"/>
    <w:rsid w:val="001C348A"/>
    <w:rsid w:val="001C368B"/>
    <w:rsid w:val="001C74F2"/>
    <w:rsid w:val="001D208F"/>
    <w:rsid w:val="001D25E2"/>
    <w:rsid w:val="001E1570"/>
    <w:rsid w:val="001E1984"/>
    <w:rsid w:val="001F4A34"/>
    <w:rsid w:val="001F6503"/>
    <w:rsid w:val="002014C8"/>
    <w:rsid w:val="002021FA"/>
    <w:rsid w:val="002027DD"/>
    <w:rsid w:val="00204F74"/>
    <w:rsid w:val="0020530C"/>
    <w:rsid w:val="002072C5"/>
    <w:rsid w:val="002101CF"/>
    <w:rsid w:val="00212BD8"/>
    <w:rsid w:val="002159B3"/>
    <w:rsid w:val="002163E4"/>
    <w:rsid w:val="00216E47"/>
    <w:rsid w:val="00217463"/>
    <w:rsid w:val="002212F1"/>
    <w:rsid w:val="002213EE"/>
    <w:rsid w:val="002222F0"/>
    <w:rsid w:val="002333AE"/>
    <w:rsid w:val="00233D82"/>
    <w:rsid w:val="00234F7C"/>
    <w:rsid w:val="00235107"/>
    <w:rsid w:val="002359D6"/>
    <w:rsid w:val="00236314"/>
    <w:rsid w:val="002400DA"/>
    <w:rsid w:val="0024021D"/>
    <w:rsid w:val="002413BA"/>
    <w:rsid w:val="0024474F"/>
    <w:rsid w:val="00244C1E"/>
    <w:rsid w:val="00245470"/>
    <w:rsid w:val="002467B2"/>
    <w:rsid w:val="00246E3C"/>
    <w:rsid w:val="00250D51"/>
    <w:rsid w:val="00251768"/>
    <w:rsid w:val="0025676E"/>
    <w:rsid w:val="002574A4"/>
    <w:rsid w:val="002605DD"/>
    <w:rsid w:val="00261558"/>
    <w:rsid w:val="002630E2"/>
    <w:rsid w:val="00273103"/>
    <w:rsid w:val="00273B18"/>
    <w:rsid w:val="00280A59"/>
    <w:rsid w:val="002838B2"/>
    <w:rsid w:val="0028457B"/>
    <w:rsid w:val="00290762"/>
    <w:rsid w:val="00292B38"/>
    <w:rsid w:val="00294297"/>
    <w:rsid w:val="00294767"/>
    <w:rsid w:val="00296315"/>
    <w:rsid w:val="002A0619"/>
    <w:rsid w:val="002A107A"/>
    <w:rsid w:val="002A3E37"/>
    <w:rsid w:val="002A421C"/>
    <w:rsid w:val="002A6D76"/>
    <w:rsid w:val="002B0EEE"/>
    <w:rsid w:val="002B1180"/>
    <w:rsid w:val="002B47FB"/>
    <w:rsid w:val="002B66B0"/>
    <w:rsid w:val="002B66F2"/>
    <w:rsid w:val="002B7B9B"/>
    <w:rsid w:val="002C18C9"/>
    <w:rsid w:val="002C1C7B"/>
    <w:rsid w:val="002C4DF7"/>
    <w:rsid w:val="002C71F3"/>
    <w:rsid w:val="002D45D0"/>
    <w:rsid w:val="002D6AA3"/>
    <w:rsid w:val="002E1D34"/>
    <w:rsid w:val="002E3030"/>
    <w:rsid w:val="002E5617"/>
    <w:rsid w:val="002F0FFD"/>
    <w:rsid w:val="002F198B"/>
    <w:rsid w:val="002F1F92"/>
    <w:rsid w:val="002F2465"/>
    <w:rsid w:val="002F3D39"/>
    <w:rsid w:val="002F4E83"/>
    <w:rsid w:val="00301ACD"/>
    <w:rsid w:val="00307ECA"/>
    <w:rsid w:val="0031300A"/>
    <w:rsid w:val="00313353"/>
    <w:rsid w:val="00313E3B"/>
    <w:rsid w:val="0031572C"/>
    <w:rsid w:val="003225FC"/>
    <w:rsid w:val="00325974"/>
    <w:rsid w:val="0032715B"/>
    <w:rsid w:val="00327760"/>
    <w:rsid w:val="00334EE4"/>
    <w:rsid w:val="00336BF5"/>
    <w:rsid w:val="00336BF6"/>
    <w:rsid w:val="00337A5E"/>
    <w:rsid w:val="0034228C"/>
    <w:rsid w:val="00342600"/>
    <w:rsid w:val="003433D7"/>
    <w:rsid w:val="00343FD1"/>
    <w:rsid w:val="00345108"/>
    <w:rsid w:val="003458EA"/>
    <w:rsid w:val="003479D7"/>
    <w:rsid w:val="00347C8E"/>
    <w:rsid w:val="00347F48"/>
    <w:rsid w:val="0035041F"/>
    <w:rsid w:val="003515FC"/>
    <w:rsid w:val="00352BD3"/>
    <w:rsid w:val="003535FE"/>
    <w:rsid w:val="003554DC"/>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3BAA"/>
    <w:rsid w:val="003D503F"/>
    <w:rsid w:val="003D528B"/>
    <w:rsid w:val="003D55BB"/>
    <w:rsid w:val="003D7602"/>
    <w:rsid w:val="003D7B8D"/>
    <w:rsid w:val="003E050C"/>
    <w:rsid w:val="003E2891"/>
    <w:rsid w:val="003E31F1"/>
    <w:rsid w:val="003E470D"/>
    <w:rsid w:val="003E58C4"/>
    <w:rsid w:val="003E680C"/>
    <w:rsid w:val="003F2976"/>
    <w:rsid w:val="003F2D93"/>
    <w:rsid w:val="003F5CA2"/>
    <w:rsid w:val="003F7937"/>
    <w:rsid w:val="00401565"/>
    <w:rsid w:val="00402D4A"/>
    <w:rsid w:val="0040572A"/>
    <w:rsid w:val="0040624D"/>
    <w:rsid w:val="00407CF8"/>
    <w:rsid w:val="00411F64"/>
    <w:rsid w:val="004136E4"/>
    <w:rsid w:val="00415347"/>
    <w:rsid w:val="00417227"/>
    <w:rsid w:val="00424846"/>
    <w:rsid w:val="00425567"/>
    <w:rsid w:val="00425E51"/>
    <w:rsid w:val="004325F7"/>
    <w:rsid w:val="0043363A"/>
    <w:rsid w:val="00433814"/>
    <w:rsid w:val="00434026"/>
    <w:rsid w:val="004376DC"/>
    <w:rsid w:val="00440D41"/>
    <w:rsid w:val="00444E07"/>
    <w:rsid w:val="00445DFE"/>
    <w:rsid w:val="0044601E"/>
    <w:rsid w:val="00446986"/>
    <w:rsid w:val="004524B6"/>
    <w:rsid w:val="00457238"/>
    <w:rsid w:val="00460C67"/>
    <w:rsid w:val="004620FF"/>
    <w:rsid w:val="00463640"/>
    <w:rsid w:val="0047022F"/>
    <w:rsid w:val="0047115A"/>
    <w:rsid w:val="00475D6C"/>
    <w:rsid w:val="004766C1"/>
    <w:rsid w:val="00476DE0"/>
    <w:rsid w:val="00476E49"/>
    <w:rsid w:val="00477899"/>
    <w:rsid w:val="00477C1F"/>
    <w:rsid w:val="00481E31"/>
    <w:rsid w:val="00485076"/>
    <w:rsid w:val="00485965"/>
    <w:rsid w:val="00490759"/>
    <w:rsid w:val="004913A5"/>
    <w:rsid w:val="004921B9"/>
    <w:rsid w:val="00492B61"/>
    <w:rsid w:val="00493475"/>
    <w:rsid w:val="004A12B4"/>
    <w:rsid w:val="004A3238"/>
    <w:rsid w:val="004A76AB"/>
    <w:rsid w:val="004B15B7"/>
    <w:rsid w:val="004C2452"/>
    <w:rsid w:val="004C6429"/>
    <w:rsid w:val="004D17C5"/>
    <w:rsid w:val="004D1A74"/>
    <w:rsid w:val="004D62BE"/>
    <w:rsid w:val="004E1757"/>
    <w:rsid w:val="004E1BFC"/>
    <w:rsid w:val="004E29B3"/>
    <w:rsid w:val="004E7CBC"/>
    <w:rsid w:val="004F0585"/>
    <w:rsid w:val="004F17D6"/>
    <w:rsid w:val="004F2121"/>
    <w:rsid w:val="004F27D2"/>
    <w:rsid w:val="004F477E"/>
    <w:rsid w:val="004F6FB7"/>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0DF"/>
    <w:rsid w:val="005515E7"/>
    <w:rsid w:val="00562646"/>
    <w:rsid w:val="00564D43"/>
    <w:rsid w:val="00570B08"/>
    <w:rsid w:val="0057341B"/>
    <w:rsid w:val="00574451"/>
    <w:rsid w:val="0057792A"/>
    <w:rsid w:val="00580E59"/>
    <w:rsid w:val="0058716D"/>
    <w:rsid w:val="00590D07"/>
    <w:rsid w:val="00590EAC"/>
    <w:rsid w:val="00591910"/>
    <w:rsid w:val="00591CE8"/>
    <w:rsid w:val="00593962"/>
    <w:rsid w:val="00596E40"/>
    <w:rsid w:val="0059744C"/>
    <w:rsid w:val="00597D63"/>
    <w:rsid w:val="005A0122"/>
    <w:rsid w:val="005A1660"/>
    <w:rsid w:val="005A1BCD"/>
    <w:rsid w:val="005A2351"/>
    <w:rsid w:val="005A4031"/>
    <w:rsid w:val="005A51E1"/>
    <w:rsid w:val="005A786D"/>
    <w:rsid w:val="005B0F93"/>
    <w:rsid w:val="005B75F8"/>
    <w:rsid w:val="005C0FB2"/>
    <w:rsid w:val="005C1464"/>
    <w:rsid w:val="005C1AE9"/>
    <w:rsid w:val="005C1C80"/>
    <w:rsid w:val="005C4A05"/>
    <w:rsid w:val="005D31F1"/>
    <w:rsid w:val="005D32CD"/>
    <w:rsid w:val="005D4D9B"/>
    <w:rsid w:val="005D4F13"/>
    <w:rsid w:val="005D59E2"/>
    <w:rsid w:val="005D61EC"/>
    <w:rsid w:val="005E0DF6"/>
    <w:rsid w:val="005E32CA"/>
    <w:rsid w:val="005F17FF"/>
    <w:rsid w:val="005F20D1"/>
    <w:rsid w:val="005F225C"/>
    <w:rsid w:val="005F2A11"/>
    <w:rsid w:val="005F4EAB"/>
    <w:rsid w:val="005F5AB5"/>
    <w:rsid w:val="00601571"/>
    <w:rsid w:val="00601E7A"/>
    <w:rsid w:val="00602D90"/>
    <w:rsid w:val="006036F8"/>
    <w:rsid w:val="006037D5"/>
    <w:rsid w:val="006048B6"/>
    <w:rsid w:val="006072B5"/>
    <w:rsid w:val="00613954"/>
    <w:rsid w:val="00616699"/>
    <w:rsid w:val="00624A52"/>
    <w:rsid w:val="0062596C"/>
    <w:rsid w:val="0062663D"/>
    <w:rsid w:val="0063155E"/>
    <w:rsid w:val="006317FA"/>
    <w:rsid w:val="00631911"/>
    <w:rsid w:val="0063494D"/>
    <w:rsid w:val="006349C7"/>
    <w:rsid w:val="00637A3C"/>
    <w:rsid w:val="00640432"/>
    <w:rsid w:val="006414A2"/>
    <w:rsid w:val="00643968"/>
    <w:rsid w:val="00644B52"/>
    <w:rsid w:val="0065046D"/>
    <w:rsid w:val="00652B5B"/>
    <w:rsid w:val="006532EF"/>
    <w:rsid w:val="00653330"/>
    <w:rsid w:val="00653339"/>
    <w:rsid w:val="00653954"/>
    <w:rsid w:val="0065545A"/>
    <w:rsid w:val="006561EF"/>
    <w:rsid w:val="006564CD"/>
    <w:rsid w:val="006564EA"/>
    <w:rsid w:val="00656C05"/>
    <w:rsid w:val="00665653"/>
    <w:rsid w:val="00667203"/>
    <w:rsid w:val="00673335"/>
    <w:rsid w:val="00673519"/>
    <w:rsid w:val="00675DB6"/>
    <w:rsid w:val="006761D1"/>
    <w:rsid w:val="00680BF3"/>
    <w:rsid w:val="00683C3E"/>
    <w:rsid w:val="00684F12"/>
    <w:rsid w:val="00685460"/>
    <w:rsid w:val="00686881"/>
    <w:rsid w:val="00686D6B"/>
    <w:rsid w:val="0069069C"/>
    <w:rsid w:val="006937C5"/>
    <w:rsid w:val="00693E29"/>
    <w:rsid w:val="00693F95"/>
    <w:rsid w:val="00694196"/>
    <w:rsid w:val="00694219"/>
    <w:rsid w:val="00694E96"/>
    <w:rsid w:val="00694FE6"/>
    <w:rsid w:val="006A2D77"/>
    <w:rsid w:val="006A4E56"/>
    <w:rsid w:val="006A5D17"/>
    <w:rsid w:val="006B02D4"/>
    <w:rsid w:val="006B282C"/>
    <w:rsid w:val="006B56B4"/>
    <w:rsid w:val="006B69D2"/>
    <w:rsid w:val="006B6E9A"/>
    <w:rsid w:val="006C1C08"/>
    <w:rsid w:val="006C36FB"/>
    <w:rsid w:val="006C4D29"/>
    <w:rsid w:val="006C6551"/>
    <w:rsid w:val="006D33BF"/>
    <w:rsid w:val="006D43CC"/>
    <w:rsid w:val="006E2884"/>
    <w:rsid w:val="006E289C"/>
    <w:rsid w:val="006E3DFA"/>
    <w:rsid w:val="006E619C"/>
    <w:rsid w:val="006F60EA"/>
    <w:rsid w:val="006F73AC"/>
    <w:rsid w:val="006F7670"/>
    <w:rsid w:val="00702813"/>
    <w:rsid w:val="00707939"/>
    <w:rsid w:val="00707968"/>
    <w:rsid w:val="00711A29"/>
    <w:rsid w:val="0071380B"/>
    <w:rsid w:val="0071476F"/>
    <w:rsid w:val="00714F9C"/>
    <w:rsid w:val="00717A92"/>
    <w:rsid w:val="007208C9"/>
    <w:rsid w:val="00720CBD"/>
    <w:rsid w:val="00721207"/>
    <w:rsid w:val="00721A22"/>
    <w:rsid w:val="00724240"/>
    <w:rsid w:val="007246A8"/>
    <w:rsid w:val="007255F0"/>
    <w:rsid w:val="007307C1"/>
    <w:rsid w:val="00730954"/>
    <w:rsid w:val="00740475"/>
    <w:rsid w:val="007410DB"/>
    <w:rsid w:val="00741D2C"/>
    <w:rsid w:val="007441F0"/>
    <w:rsid w:val="007445A7"/>
    <w:rsid w:val="007449E8"/>
    <w:rsid w:val="00746AD4"/>
    <w:rsid w:val="00747CF4"/>
    <w:rsid w:val="00750294"/>
    <w:rsid w:val="00750F98"/>
    <w:rsid w:val="00753D3C"/>
    <w:rsid w:val="00756704"/>
    <w:rsid w:val="00762ADA"/>
    <w:rsid w:val="00766710"/>
    <w:rsid w:val="007701B9"/>
    <w:rsid w:val="00770672"/>
    <w:rsid w:val="007808AE"/>
    <w:rsid w:val="007810FA"/>
    <w:rsid w:val="00781D8B"/>
    <w:rsid w:val="00784D58"/>
    <w:rsid w:val="00785054"/>
    <w:rsid w:val="0078664D"/>
    <w:rsid w:val="00786B6E"/>
    <w:rsid w:val="00786DF9"/>
    <w:rsid w:val="0078709D"/>
    <w:rsid w:val="00787259"/>
    <w:rsid w:val="00790E2E"/>
    <w:rsid w:val="007913D1"/>
    <w:rsid w:val="00791BC8"/>
    <w:rsid w:val="00795434"/>
    <w:rsid w:val="00795CFD"/>
    <w:rsid w:val="007A16A4"/>
    <w:rsid w:val="007A6F88"/>
    <w:rsid w:val="007A7584"/>
    <w:rsid w:val="007B0E49"/>
    <w:rsid w:val="007B1D63"/>
    <w:rsid w:val="007B2B50"/>
    <w:rsid w:val="007B45EF"/>
    <w:rsid w:val="007B47CE"/>
    <w:rsid w:val="007B530F"/>
    <w:rsid w:val="007B6B7A"/>
    <w:rsid w:val="007C58CB"/>
    <w:rsid w:val="007C6565"/>
    <w:rsid w:val="007C6BC0"/>
    <w:rsid w:val="007C6F16"/>
    <w:rsid w:val="007C77E2"/>
    <w:rsid w:val="007D54CE"/>
    <w:rsid w:val="007D59CE"/>
    <w:rsid w:val="007E73BA"/>
    <w:rsid w:val="007F42D2"/>
    <w:rsid w:val="007F4B6F"/>
    <w:rsid w:val="007F5F69"/>
    <w:rsid w:val="007F6540"/>
    <w:rsid w:val="008019BE"/>
    <w:rsid w:val="00801CF9"/>
    <w:rsid w:val="00801EA9"/>
    <w:rsid w:val="00806F83"/>
    <w:rsid w:val="008107E3"/>
    <w:rsid w:val="00811B13"/>
    <w:rsid w:val="00811EAD"/>
    <w:rsid w:val="00816318"/>
    <w:rsid w:val="00816E7E"/>
    <w:rsid w:val="008172C8"/>
    <w:rsid w:val="008207EA"/>
    <w:rsid w:val="0082207F"/>
    <w:rsid w:val="00823478"/>
    <w:rsid w:val="0082359B"/>
    <w:rsid w:val="0083196A"/>
    <w:rsid w:val="008329E4"/>
    <w:rsid w:val="00835B52"/>
    <w:rsid w:val="008401F7"/>
    <w:rsid w:val="008434FF"/>
    <w:rsid w:val="00845376"/>
    <w:rsid w:val="00853A3D"/>
    <w:rsid w:val="0085487D"/>
    <w:rsid w:val="0085574A"/>
    <w:rsid w:val="00855A02"/>
    <w:rsid w:val="00855DDE"/>
    <w:rsid w:val="0085682A"/>
    <w:rsid w:val="00867621"/>
    <w:rsid w:val="008700D1"/>
    <w:rsid w:val="0087449C"/>
    <w:rsid w:val="008769B7"/>
    <w:rsid w:val="0087715C"/>
    <w:rsid w:val="00877AAA"/>
    <w:rsid w:val="00883C6E"/>
    <w:rsid w:val="0088644E"/>
    <w:rsid w:val="00886857"/>
    <w:rsid w:val="008903E4"/>
    <w:rsid w:val="00892562"/>
    <w:rsid w:val="00893655"/>
    <w:rsid w:val="00896932"/>
    <w:rsid w:val="00896BD9"/>
    <w:rsid w:val="00897013"/>
    <w:rsid w:val="008A181D"/>
    <w:rsid w:val="008A2258"/>
    <w:rsid w:val="008A32CC"/>
    <w:rsid w:val="008A4EE6"/>
    <w:rsid w:val="008A74BD"/>
    <w:rsid w:val="008B37C5"/>
    <w:rsid w:val="008B38A8"/>
    <w:rsid w:val="008B5099"/>
    <w:rsid w:val="008C0F2C"/>
    <w:rsid w:val="008C32E9"/>
    <w:rsid w:val="008C4659"/>
    <w:rsid w:val="008C475F"/>
    <w:rsid w:val="008C51C9"/>
    <w:rsid w:val="008C7692"/>
    <w:rsid w:val="008C7B88"/>
    <w:rsid w:val="008D0C72"/>
    <w:rsid w:val="008D1C2D"/>
    <w:rsid w:val="008D5D96"/>
    <w:rsid w:val="008D670C"/>
    <w:rsid w:val="008D6863"/>
    <w:rsid w:val="008E3DF6"/>
    <w:rsid w:val="008E7431"/>
    <w:rsid w:val="008F0C41"/>
    <w:rsid w:val="008F1750"/>
    <w:rsid w:val="008F2FDA"/>
    <w:rsid w:val="00901DF0"/>
    <w:rsid w:val="009071AC"/>
    <w:rsid w:val="009073BA"/>
    <w:rsid w:val="009077C0"/>
    <w:rsid w:val="00911C2A"/>
    <w:rsid w:val="00914ED7"/>
    <w:rsid w:val="009152D8"/>
    <w:rsid w:val="00916D9A"/>
    <w:rsid w:val="009209AD"/>
    <w:rsid w:val="00920F63"/>
    <w:rsid w:val="009263DE"/>
    <w:rsid w:val="00927FD9"/>
    <w:rsid w:val="00930633"/>
    <w:rsid w:val="0093164D"/>
    <w:rsid w:val="00932CA4"/>
    <w:rsid w:val="00933423"/>
    <w:rsid w:val="009341C1"/>
    <w:rsid w:val="009371F9"/>
    <w:rsid w:val="009375C5"/>
    <w:rsid w:val="009417C1"/>
    <w:rsid w:val="0094275F"/>
    <w:rsid w:val="00943761"/>
    <w:rsid w:val="00947CCE"/>
    <w:rsid w:val="0095052D"/>
    <w:rsid w:val="0095103F"/>
    <w:rsid w:val="0095398B"/>
    <w:rsid w:val="00954F1E"/>
    <w:rsid w:val="00957686"/>
    <w:rsid w:val="009600E4"/>
    <w:rsid w:val="00961D47"/>
    <w:rsid w:val="00962B23"/>
    <w:rsid w:val="00963F10"/>
    <w:rsid w:val="00970369"/>
    <w:rsid w:val="00970495"/>
    <w:rsid w:val="009730CC"/>
    <w:rsid w:val="00973B93"/>
    <w:rsid w:val="00974C30"/>
    <w:rsid w:val="00980006"/>
    <w:rsid w:val="00980285"/>
    <w:rsid w:val="0098286C"/>
    <w:rsid w:val="00982C8E"/>
    <w:rsid w:val="0098340A"/>
    <w:rsid w:val="00984654"/>
    <w:rsid w:val="00990969"/>
    <w:rsid w:val="0099133F"/>
    <w:rsid w:val="00993B7B"/>
    <w:rsid w:val="00994C56"/>
    <w:rsid w:val="00995DB8"/>
    <w:rsid w:val="00996ECA"/>
    <w:rsid w:val="009A1DF0"/>
    <w:rsid w:val="009A6269"/>
    <w:rsid w:val="009A66FF"/>
    <w:rsid w:val="009B078D"/>
    <w:rsid w:val="009B0BBC"/>
    <w:rsid w:val="009B338B"/>
    <w:rsid w:val="009B57AC"/>
    <w:rsid w:val="009C171A"/>
    <w:rsid w:val="009C5404"/>
    <w:rsid w:val="009D0AE4"/>
    <w:rsid w:val="009D16FF"/>
    <w:rsid w:val="009D1C1E"/>
    <w:rsid w:val="009D1E7B"/>
    <w:rsid w:val="009D55B6"/>
    <w:rsid w:val="009D66F5"/>
    <w:rsid w:val="009E0ED4"/>
    <w:rsid w:val="009E1B59"/>
    <w:rsid w:val="009E2FD5"/>
    <w:rsid w:val="009E5954"/>
    <w:rsid w:val="009F08B0"/>
    <w:rsid w:val="009F3808"/>
    <w:rsid w:val="009F58EA"/>
    <w:rsid w:val="00A006BA"/>
    <w:rsid w:val="00A035C9"/>
    <w:rsid w:val="00A062E8"/>
    <w:rsid w:val="00A07B12"/>
    <w:rsid w:val="00A11765"/>
    <w:rsid w:val="00A13185"/>
    <w:rsid w:val="00A13ACF"/>
    <w:rsid w:val="00A13EA3"/>
    <w:rsid w:val="00A20B7B"/>
    <w:rsid w:val="00A21BBF"/>
    <w:rsid w:val="00A2210F"/>
    <w:rsid w:val="00A23BE7"/>
    <w:rsid w:val="00A24382"/>
    <w:rsid w:val="00A262CC"/>
    <w:rsid w:val="00A2774E"/>
    <w:rsid w:val="00A32444"/>
    <w:rsid w:val="00A32D1B"/>
    <w:rsid w:val="00A3544E"/>
    <w:rsid w:val="00A35AC7"/>
    <w:rsid w:val="00A422A1"/>
    <w:rsid w:val="00A42ECB"/>
    <w:rsid w:val="00A438A8"/>
    <w:rsid w:val="00A44009"/>
    <w:rsid w:val="00A446EC"/>
    <w:rsid w:val="00A45840"/>
    <w:rsid w:val="00A5300A"/>
    <w:rsid w:val="00A54188"/>
    <w:rsid w:val="00A555B3"/>
    <w:rsid w:val="00A5601E"/>
    <w:rsid w:val="00A61DAC"/>
    <w:rsid w:val="00A62D65"/>
    <w:rsid w:val="00A66DB4"/>
    <w:rsid w:val="00A67023"/>
    <w:rsid w:val="00A703DA"/>
    <w:rsid w:val="00A71E8C"/>
    <w:rsid w:val="00A72CBF"/>
    <w:rsid w:val="00A73F4C"/>
    <w:rsid w:val="00A745F2"/>
    <w:rsid w:val="00A756E2"/>
    <w:rsid w:val="00A75C24"/>
    <w:rsid w:val="00A76784"/>
    <w:rsid w:val="00A77D70"/>
    <w:rsid w:val="00A8085A"/>
    <w:rsid w:val="00A849AB"/>
    <w:rsid w:val="00A87821"/>
    <w:rsid w:val="00A90BED"/>
    <w:rsid w:val="00A92092"/>
    <w:rsid w:val="00A931F8"/>
    <w:rsid w:val="00A95FCA"/>
    <w:rsid w:val="00A96F2E"/>
    <w:rsid w:val="00A972A0"/>
    <w:rsid w:val="00A9731F"/>
    <w:rsid w:val="00A97F92"/>
    <w:rsid w:val="00AA00AD"/>
    <w:rsid w:val="00AA5F8D"/>
    <w:rsid w:val="00AA6A55"/>
    <w:rsid w:val="00AA6C95"/>
    <w:rsid w:val="00AA766D"/>
    <w:rsid w:val="00AB75CA"/>
    <w:rsid w:val="00AD008E"/>
    <w:rsid w:val="00AD4F04"/>
    <w:rsid w:val="00AD7A1A"/>
    <w:rsid w:val="00AD7AFB"/>
    <w:rsid w:val="00AE287A"/>
    <w:rsid w:val="00AE32FB"/>
    <w:rsid w:val="00AE6BB0"/>
    <w:rsid w:val="00AE77BB"/>
    <w:rsid w:val="00AF03ED"/>
    <w:rsid w:val="00AF3EEC"/>
    <w:rsid w:val="00AF4FD7"/>
    <w:rsid w:val="00AF560E"/>
    <w:rsid w:val="00B02CF8"/>
    <w:rsid w:val="00B04A61"/>
    <w:rsid w:val="00B067B6"/>
    <w:rsid w:val="00B06C44"/>
    <w:rsid w:val="00B13AFC"/>
    <w:rsid w:val="00B16E0D"/>
    <w:rsid w:val="00B16FA0"/>
    <w:rsid w:val="00B20D7C"/>
    <w:rsid w:val="00B21B8C"/>
    <w:rsid w:val="00B22BB2"/>
    <w:rsid w:val="00B242BD"/>
    <w:rsid w:val="00B24902"/>
    <w:rsid w:val="00B32406"/>
    <w:rsid w:val="00B354D2"/>
    <w:rsid w:val="00B36C0E"/>
    <w:rsid w:val="00B4054F"/>
    <w:rsid w:val="00B4056B"/>
    <w:rsid w:val="00B410FD"/>
    <w:rsid w:val="00B450C4"/>
    <w:rsid w:val="00B457B0"/>
    <w:rsid w:val="00B46EDD"/>
    <w:rsid w:val="00B471EE"/>
    <w:rsid w:val="00B505A7"/>
    <w:rsid w:val="00B5135D"/>
    <w:rsid w:val="00B56A9A"/>
    <w:rsid w:val="00B576EF"/>
    <w:rsid w:val="00B612DA"/>
    <w:rsid w:val="00B65505"/>
    <w:rsid w:val="00B721A1"/>
    <w:rsid w:val="00B73B56"/>
    <w:rsid w:val="00B74CE2"/>
    <w:rsid w:val="00B813BB"/>
    <w:rsid w:val="00B83490"/>
    <w:rsid w:val="00B841FA"/>
    <w:rsid w:val="00B85895"/>
    <w:rsid w:val="00B859B9"/>
    <w:rsid w:val="00B86669"/>
    <w:rsid w:val="00B86B75"/>
    <w:rsid w:val="00B90311"/>
    <w:rsid w:val="00B92AE7"/>
    <w:rsid w:val="00B932EC"/>
    <w:rsid w:val="00B938AD"/>
    <w:rsid w:val="00B93956"/>
    <w:rsid w:val="00B950F2"/>
    <w:rsid w:val="00BA024E"/>
    <w:rsid w:val="00BA28BC"/>
    <w:rsid w:val="00BA4B24"/>
    <w:rsid w:val="00BA5A96"/>
    <w:rsid w:val="00BB2415"/>
    <w:rsid w:val="00BB4B7B"/>
    <w:rsid w:val="00BB6ADF"/>
    <w:rsid w:val="00BC0451"/>
    <w:rsid w:val="00BC17D8"/>
    <w:rsid w:val="00BC1E3F"/>
    <w:rsid w:val="00BC2698"/>
    <w:rsid w:val="00BC2BE0"/>
    <w:rsid w:val="00BC48D5"/>
    <w:rsid w:val="00BD2617"/>
    <w:rsid w:val="00BD264E"/>
    <w:rsid w:val="00BD30A1"/>
    <w:rsid w:val="00BE1584"/>
    <w:rsid w:val="00BE15D9"/>
    <w:rsid w:val="00BE2BCA"/>
    <w:rsid w:val="00BE7E31"/>
    <w:rsid w:val="00BF146C"/>
    <w:rsid w:val="00BF15BF"/>
    <w:rsid w:val="00BF56C5"/>
    <w:rsid w:val="00BF61F8"/>
    <w:rsid w:val="00BF751C"/>
    <w:rsid w:val="00BF7F17"/>
    <w:rsid w:val="00C01A79"/>
    <w:rsid w:val="00C04C5A"/>
    <w:rsid w:val="00C10F62"/>
    <w:rsid w:val="00C12B8D"/>
    <w:rsid w:val="00C159BF"/>
    <w:rsid w:val="00C175B4"/>
    <w:rsid w:val="00C211A8"/>
    <w:rsid w:val="00C22C94"/>
    <w:rsid w:val="00C234CA"/>
    <w:rsid w:val="00C25994"/>
    <w:rsid w:val="00C2746F"/>
    <w:rsid w:val="00C27770"/>
    <w:rsid w:val="00C27A81"/>
    <w:rsid w:val="00C31B31"/>
    <w:rsid w:val="00C34E3C"/>
    <w:rsid w:val="00C36279"/>
    <w:rsid w:val="00C3644E"/>
    <w:rsid w:val="00C42409"/>
    <w:rsid w:val="00C42B7B"/>
    <w:rsid w:val="00C44554"/>
    <w:rsid w:val="00C4485E"/>
    <w:rsid w:val="00C44A84"/>
    <w:rsid w:val="00C44BD0"/>
    <w:rsid w:val="00C47347"/>
    <w:rsid w:val="00C512CA"/>
    <w:rsid w:val="00C51FC9"/>
    <w:rsid w:val="00C533E0"/>
    <w:rsid w:val="00C53CD1"/>
    <w:rsid w:val="00C53EAE"/>
    <w:rsid w:val="00C54115"/>
    <w:rsid w:val="00C601D4"/>
    <w:rsid w:val="00C60989"/>
    <w:rsid w:val="00C61259"/>
    <w:rsid w:val="00C624EE"/>
    <w:rsid w:val="00C62CD3"/>
    <w:rsid w:val="00C62EDC"/>
    <w:rsid w:val="00C636BC"/>
    <w:rsid w:val="00C65C63"/>
    <w:rsid w:val="00C67462"/>
    <w:rsid w:val="00C70F2D"/>
    <w:rsid w:val="00C74FB9"/>
    <w:rsid w:val="00C75859"/>
    <w:rsid w:val="00C764C4"/>
    <w:rsid w:val="00C76BA1"/>
    <w:rsid w:val="00C801F2"/>
    <w:rsid w:val="00C80DC5"/>
    <w:rsid w:val="00C85023"/>
    <w:rsid w:val="00C96553"/>
    <w:rsid w:val="00CA0155"/>
    <w:rsid w:val="00CA22E6"/>
    <w:rsid w:val="00CA29DB"/>
    <w:rsid w:val="00CA3B94"/>
    <w:rsid w:val="00CB3B6A"/>
    <w:rsid w:val="00CB7538"/>
    <w:rsid w:val="00CC07C9"/>
    <w:rsid w:val="00CC161C"/>
    <w:rsid w:val="00CC73BB"/>
    <w:rsid w:val="00CD1384"/>
    <w:rsid w:val="00CD3AF3"/>
    <w:rsid w:val="00CD4416"/>
    <w:rsid w:val="00CD5EDB"/>
    <w:rsid w:val="00CE1D18"/>
    <w:rsid w:val="00CE32C8"/>
    <w:rsid w:val="00CE4E84"/>
    <w:rsid w:val="00CE7287"/>
    <w:rsid w:val="00CF0C7A"/>
    <w:rsid w:val="00CF1FF1"/>
    <w:rsid w:val="00CF2E69"/>
    <w:rsid w:val="00CF431E"/>
    <w:rsid w:val="00D0229D"/>
    <w:rsid w:val="00D051F4"/>
    <w:rsid w:val="00D116CE"/>
    <w:rsid w:val="00D13156"/>
    <w:rsid w:val="00D1465E"/>
    <w:rsid w:val="00D21AB2"/>
    <w:rsid w:val="00D2392C"/>
    <w:rsid w:val="00D2527C"/>
    <w:rsid w:val="00D261AC"/>
    <w:rsid w:val="00D307B2"/>
    <w:rsid w:val="00D31454"/>
    <w:rsid w:val="00D32045"/>
    <w:rsid w:val="00D343B9"/>
    <w:rsid w:val="00D3709B"/>
    <w:rsid w:val="00D41220"/>
    <w:rsid w:val="00D452B8"/>
    <w:rsid w:val="00D45E01"/>
    <w:rsid w:val="00D47636"/>
    <w:rsid w:val="00D510B2"/>
    <w:rsid w:val="00D51B68"/>
    <w:rsid w:val="00D52646"/>
    <w:rsid w:val="00D57D2B"/>
    <w:rsid w:val="00D63DFB"/>
    <w:rsid w:val="00D67228"/>
    <w:rsid w:val="00D700F6"/>
    <w:rsid w:val="00D72213"/>
    <w:rsid w:val="00D73359"/>
    <w:rsid w:val="00D7394F"/>
    <w:rsid w:val="00D75BA2"/>
    <w:rsid w:val="00D810A8"/>
    <w:rsid w:val="00D86F0F"/>
    <w:rsid w:val="00D907C7"/>
    <w:rsid w:val="00D91731"/>
    <w:rsid w:val="00D938C9"/>
    <w:rsid w:val="00D940DA"/>
    <w:rsid w:val="00D94429"/>
    <w:rsid w:val="00D94CCB"/>
    <w:rsid w:val="00D97266"/>
    <w:rsid w:val="00DA1DAE"/>
    <w:rsid w:val="00DA5E5E"/>
    <w:rsid w:val="00DA7C5D"/>
    <w:rsid w:val="00DB55C8"/>
    <w:rsid w:val="00DB5DA6"/>
    <w:rsid w:val="00DC0649"/>
    <w:rsid w:val="00DC0A5E"/>
    <w:rsid w:val="00DC1813"/>
    <w:rsid w:val="00DC2A46"/>
    <w:rsid w:val="00DC5370"/>
    <w:rsid w:val="00DC5A8F"/>
    <w:rsid w:val="00DC7606"/>
    <w:rsid w:val="00DD73B6"/>
    <w:rsid w:val="00DE02E9"/>
    <w:rsid w:val="00DE36EF"/>
    <w:rsid w:val="00DE4723"/>
    <w:rsid w:val="00DE494C"/>
    <w:rsid w:val="00DE6F0A"/>
    <w:rsid w:val="00DE7760"/>
    <w:rsid w:val="00DF14A8"/>
    <w:rsid w:val="00DF3D08"/>
    <w:rsid w:val="00DF5071"/>
    <w:rsid w:val="00DF57EF"/>
    <w:rsid w:val="00DF6B96"/>
    <w:rsid w:val="00E0062C"/>
    <w:rsid w:val="00E00DEC"/>
    <w:rsid w:val="00E00EB1"/>
    <w:rsid w:val="00E052FB"/>
    <w:rsid w:val="00E05EFC"/>
    <w:rsid w:val="00E14BE8"/>
    <w:rsid w:val="00E15C73"/>
    <w:rsid w:val="00E16FF5"/>
    <w:rsid w:val="00E30F36"/>
    <w:rsid w:val="00E315A3"/>
    <w:rsid w:val="00E31877"/>
    <w:rsid w:val="00E32632"/>
    <w:rsid w:val="00E33582"/>
    <w:rsid w:val="00E33728"/>
    <w:rsid w:val="00E33797"/>
    <w:rsid w:val="00E3638D"/>
    <w:rsid w:val="00E41F17"/>
    <w:rsid w:val="00E423A3"/>
    <w:rsid w:val="00E4280C"/>
    <w:rsid w:val="00E42C3E"/>
    <w:rsid w:val="00E435F2"/>
    <w:rsid w:val="00E43F52"/>
    <w:rsid w:val="00E4731E"/>
    <w:rsid w:val="00E504C9"/>
    <w:rsid w:val="00E5167B"/>
    <w:rsid w:val="00E529B1"/>
    <w:rsid w:val="00E55066"/>
    <w:rsid w:val="00E56CB2"/>
    <w:rsid w:val="00E56FE6"/>
    <w:rsid w:val="00E5761E"/>
    <w:rsid w:val="00E57B7F"/>
    <w:rsid w:val="00E60B47"/>
    <w:rsid w:val="00E60F5A"/>
    <w:rsid w:val="00E62183"/>
    <w:rsid w:val="00E627F3"/>
    <w:rsid w:val="00E656AD"/>
    <w:rsid w:val="00E67AA7"/>
    <w:rsid w:val="00E71710"/>
    <w:rsid w:val="00E73A05"/>
    <w:rsid w:val="00E73D89"/>
    <w:rsid w:val="00E756E0"/>
    <w:rsid w:val="00E764AF"/>
    <w:rsid w:val="00E81E18"/>
    <w:rsid w:val="00E82AE9"/>
    <w:rsid w:val="00E8359E"/>
    <w:rsid w:val="00E83EC9"/>
    <w:rsid w:val="00E84474"/>
    <w:rsid w:val="00E85698"/>
    <w:rsid w:val="00E93FD5"/>
    <w:rsid w:val="00E94A12"/>
    <w:rsid w:val="00E94F4B"/>
    <w:rsid w:val="00EA19E7"/>
    <w:rsid w:val="00EB116E"/>
    <w:rsid w:val="00EB1B65"/>
    <w:rsid w:val="00EB2F11"/>
    <w:rsid w:val="00EB37E6"/>
    <w:rsid w:val="00EC4148"/>
    <w:rsid w:val="00EC7992"/>
    <w:rsid w:val="00ED2AA2"/>
    <w:rsid w:val="00ED2FCC"/>
    <w:rsid w:val="00ED3E2A"/>
    <w:rsid w:val="00ED7E29"/>
    <w:rsid w:val="00EE078D"/>
    <w:rsid w:val="00EE08BB"/>
    <w:rsid w:val="00EE1989"/>
    <w:rsid w:val="00EE2F4E"/>
    <w:rsid w:val="00EE3753"/>
    <w:rsid w:val="00EE7A94"/>
    <w:rsid w:val="00EF352D"/>
    <w:rsid w:val="00EF36DF"/>
    <w:rsid w:val="00EF5062"/>
    <w:rsid w:val="00EF626D"/>
    <w:rsid w:val="00EF63E7"/>
    <w:rsid w:val="00EF6539"/>
    <w:rsid w:val="00F06C2F"/>
    <w:rsid w:val="00F100FF"/>
    <w:rsid w:val="00F10753"/>
    <w:rsid w:val="00F10EC0"/>
    <w:rsid w:val="00F11A77"/>
    <w:rsid w:val="00F146E3"/>
    <w:rsid w:val="00F163F0"/>
    <w:rsid w:val="00F22813"/>
    <w:rsid w:val="00F23523"/>
    <w:rsid w:val="00F27974"/>
    <w:rsid w:val="00F31371"/>
    <w:rsid w:val="00F3357D"/>
    <w:rsid w:val="00F3770B"/>
    <w:rsid w:val="00F37E5F"/>
    <w:rsid w:val="00F42CEC"/>
    <w:rsid w:val="00F45B1A"/>
    <w:rsid w:val="00F46A78"/>
    <w:rsid w:val="00F53070"/>
    <w:rsid w:val="00F5438B"/>
    <w:rsid w:val="00F55EE2"/>
    <w:rsid w:val="00F56B8A"/>
    <w:rsid w:val="00F60B57"/>
    <w:rsid w:val="00F64327"/>
    <w:rsid w:val="00F67492"/>
    <w:rsid w:val="00F7261C"/>
    <w:rsid w:val="00F72D80"/>
    <w:rsid w:val="00F72F14"/>
    <w:rsid w:val="00F732FB"/>
    <w:rsid w:val="00F73F81"/>
    <w:rsid w:val="00F7465F"/>
    <w:rsid w:val="00F75211"/>
    <w:rsid w:val="00F764E5"/>
    <w:rsid w:val="00F8274A"/>
    <w:rsid w:val="00F82E7B"/>
    <w:rsid w:val="00F8402A"/>
    <w:rsid w:val="00F85DB9"/>
    <w:rsid w:val="00F871B7"/>
    <w:rsid w:val="00F912EB"/>
    <w:rsid w:val="00F91634"/>
    <w:rsid w:val="00F9471C"/>
    <w:rsid w:val="00F961F3"/>
    <w:rsid w:val="00F96388"/>
    <w:rsid w:val="00FA09B0"/>
    <w:rsid w:val="00FA107A"/>
    <w:rsid w:val="00FA4546"/>
    <w:rsid w:val="00FA6B45"/>
    <w:rsid w:val="00FA7104"/>
    <w:rsid w:val="00FB16E9"/>
    <w:rsid w:val="00FB40FE"/>
    <w:rsid w:val="00FB5035"/>
    <w:rsid w:val="00FC0BE2"/>
    <w:rsid w:val="00FC3220"/>
    <w:rsid w:val="00FC34EF"/>
    <w:rsid w:val="00FC4956"/>
    <w:rsid w:val="00FC6FE0"/>
    <w:rsid w:val="00FD1254"/>
    <w:rsid w:val="00FD1727"/>
    <w:rsid w:val="00FD2380"/>
    <w:rsid w:val="00FD389D"/>
    <w:rsid w:val="00FD75EF"/>
    <w:rsid w:val="00FE16F7"/>
    <w:rsid w:val="00FE3D6C"/>
    <w:rsid w:val="00FE4E2D"/>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spacing w:after="24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rsid w:val="002B0EEE"/>
    <w:rPr>
      <w:color w:val="800080" w:themeColor="followedHyperlink"/>
      <w:u w:val="single"/>
    </w:rPr>
  </w:style>
  <w:style w:type="character" w:styleId="af0">
    <w:name w:val="annotation reference"/>
    <w:basedOn w:val="a1"/>
    <w:semiHidden/>
    <w:unhideWhenUsed/>
    <w:rsid w:val="00192BB5"/>
    <w:rPr>
      <w:sz w:val="16"/>
      <w:szCs w:val="16"/>
    </w:rPr>
  </w:style>
  <w:style w:type="paragraph" w:styleId="af1">
    <w:name w:val="annotation text"/>
    <w:basedOn w:val="a"/>
    <w:link w:val="af2"/>
    <w:semiHidden/>
    <w:unhideWhenUsed/>
    <w:rsid w:val="00192BB5"/>
    <w:rPr>
      <w:sz w:val="20"/>
      <w:szCs w:val="20"/>
    </w:rPr>
  </w:style>
  <w:style w:type="character" w:customStyle="1" w:styleId="af2">
    <w:name w:val="Текст примечания Знак"/>
    <w:basedOn w:val="a1"/>
    <w:link w:val="af1"/>
    <w:semiHidden/>
    <w:rsid w:val="00192BB5"/>
    <w:rPr>
      <w:sz w:val="20"/>
      <w:szCs w:val="20"/>
    </w:rPr>
  </w:style>
  <w:style w:type="paragraph" w:styleId="af3">
    <w:name w:val="annotation subject"/>
    <w:basedOn w:val="af1"/>
    <w:next w:val="af1"/>
    <w:link w:val="af4"/>
    <w:semiHidden/>
    <w:unhideWhenUsed/>
    <w:rsid w:val="00192BB5"/>
    <w:rPr>
      <w:b/>
      <w:bCs/>
    </w:rPr>
  </w:style>
  <w:style w:type="character" w:customStyle="1" w:styleId="af4">
    <w:name w:val="Тема примечания Знак"/>
    <w:basedOn w:val="af2"/>
    <w:link w:val="af3"/>
    <w:semiHidden/>
    <w:rsid w:val="00192BB5"/>
    <w:rPr>
      <w:b/>
      <w:bCs/>
      <w:sz w:val="20"/>
      <w:szCs w:val="20"/>
    </w:rPr>
  </w:style>
  <w:style w:type="paragraph" w:styleId="af5">
    <w:name w:val="Balloon Text"/>
    <w:basedOn w:val="a"/>
    <w:link w:val="af6"/>
    <w:semiHidden/>
    <w:unhideWhenUsed/>
    <w:rsid w:val="00192BB5"/>
    <w:pPr>
      <w:spacing w:after="0"/>
    </w:pPr>
    <w:rPr>
      <w:rFonts w:ascii="Segoe UI" w:hAnsi="Segoe UI" w:cs="Segoe UI"/>
      <w:sz w:val="18"/>
      <w:szCs w:val="18"/>
    </w:rPr>
  </w:style>
  <w:style w:type="character" w:customStyle="1" w:styleId="af6">
    <w:name w:val="Текст выноски Знак"/>
    <w:basedOn w:val="a1"/>
    <w:link w:val="af5"/>
    <w:semiHidden/>
    <w:rsid w:val="00192BB5"/>
    <w:rPr>
      <w:rFonts w:ascii="Segoe UI" w:hAnsi="Segoe UI" w:cs="Segoe UI"/>
      <w:sz w:val="18"/>
      <w:szCs w:val="18"/>
    </w:rPr>
  </w:style>
  <w:style w:type="paragraph" w:styleId="af7">
    <w:name w:val="Revision"/>
    <w:hidden/>
    <w:semiHidden/>
    <w:rsid w:val="001C348A"/>
    <w:pPr>
      <w:spacing w:after="0"/>
    </w:pPr>
  </w:style>
  <w:style w:type="character" w:styleId="af8">
    <w:name w:val="Placeholder Text"/>
    <w:basedOn w:val="a1"/>
    <w:semiHidden/>
    <w:rsid w:val="00957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mash/Alkalinity_in_the_Wadden_Sea" TargetMode="Externa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limash/Alkalinity_in_the_Wadden_S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02C72-8156-40DE-BF8E-839C8200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5707</TotalTime>
  <Pages>12</Pages>
  <Words>14308</Words>
  <Characters>81558</Characters>
  <Application>Microsoft Office Word</Application>
  <DocSecurity>0</DocSecurity>
  <Lines>679</Lines>
  <Paragraphs>191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Учетная запись Майкрософт</cp:lastModifiedBy>
  <cp:revision>401</cp:revision>
  <dcterms:created xsi:type="dcterms:W3CDTF">2020-09-08T09:51:00Z</dcterms:created>
  <dcterms:modified xsi:type="dcterms:W3CDTF">2020-12-25T14:35:00Z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