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0"/>
        <w:gridCol w:w="2638"/>
      </w:tblGrid>
      <w:tr>
        <w:tc>
          <w:tcPr>
            <w:tcW w:type="dxa" w:w="7000"/>
            <w:tcBorders>
              <w:top w:val="none" w:color="FFFFFF" w:sz="0"/>
              <w:left w:val="none" w:color="FFFFFF" w:sz="0"/>
              <w:bottom w:val="none" w:color="FFFFFF" w:sz="0"/>
              <w:right w:val="none" w:color="FFFFFF" w:sz="0"/>
            </w:tcBorders>
            <w:shd w:fill="132246" w:color="auto" w:val="clear"/>
            <w:tcMar>
              <w:top w:type="dxa" w:w="200"/>
              <w:left w:type="dxa" w:w="220"/>
              <w:bottom w:type="dxa" w:w="200"/>
              <w:right w:type="dxa" w:w="90"/>
            </w:tcMar>
            <w:vAlign w:val="center"/>
          </w:tcPr>
          <w:p>
            <w:pPr>
              <w:spacing w:after="60" w:before="0" w:line="240"/>
            </w:pPr>
            <w:r>
              <w:rPr>
                <w:rFonts w:ascii="Gill Sans MT" w:cs="Gill Sans MT" w:eastAsia="Gill Sans MT" w:hAnsi="Gill Sans MT"/>
                <w:b/>
                <w:bCs/>
                <w:caps/>
                <w:color w:val="FFFFFF"/>
                <w:sz w:val="16"/>
                <w:szCs w:val="16"/>
              </w:rPr>
              <w:t xml:space="preserve">AI Defensibility Assessment  ·  Framework v2.0 structure  ·  worked example</w:t>
            </w:r>
          </w:p>
          <w:p>
            <w:pPr>
              <w:spacing w:after="0" w:before="0" w:line="300"/>
            </w:pPr>
            <w:r>
              <w:rPr>
                <w:rFonts w:ascii="Gill Sans MT" w:cs="Gill Sans MT" w:eastAsia="Gill Sans MT" w:hAnsi="Gill Sans MT"/>
                <w:b/>
                <w:bCs/>
                <w:caps/>
                <w:color w:val="FFFFFF"/>
                <w:sz w:val="34"/>
                <w:szCs w:val="34"/>
              </w:rPr>
              <w:t xml:space="preserve">Acme Scheduling</w:t>
            </w:r>
          </w:p>
        </w:tc>
        <w:tc>
          <w:tcPr>
            <w:tcW w:type="dxa" w:w="2638"/>
            <w:tcBorders>
              <w:top w:val="none" w:color="FFFFFF" w:sz="0"/>
              <w:left w:val="none" w:color="FFFFFF" w:sz="0"/>
              <w:bottom w:val="none" w:color="FFFFFF" w:sz="0"/>
              <w:right w:val="none" w:color="FFFFFF" w:sz="0"/>
            </w:tcBorders>
            <w:shd w:fill="132246" w:color="auto" w:val="clear"/>
            <w:tcMar>
              <w:top w:type="dxa" w:w="200"/>
              <w:left w:type="dxa" w:w="220"/>
              <w:bottom w:type="dxa" w:w="200"/>
              <w:right w:type="dxa" w:w="90"/>
            </w:tcMar>
            <w:vAlign w:val="center"/>
          </w:tcPr>
          <w:p>
            <w:pPr>
              <w:spacing w:after="40" w:before="0" w:line="240"/>
              <w:jc w:val="right"/>
            </w:pPr>
            <w:r>
              <w:rPr>
                <w:rFonts w:ascii="Gill Sans MT" w:cs="Gill Sans MT" w:eastAsia="Gill Sans MT" w:hAnsi="Gill Sans MT"/>
                <w:b/>
                <w:bCs/>
                <w:color w:val="FFFFFF"/>
                <w:sz w:val="20"/>
                <w:szCs w:val="20"/>
              </w:rPr>
              <w:t xml:space="preserve">24 September 2026</w:t>
            </w:r>
          </w:p>
          <w:p>
            <w:pPr>
              <w:spacing w:after="40" w:before="0" w:line="240"/>
              <w:jc w:val="right"/>
            </w:pPr>
            <w:r>
              <w:rPr>
                <w:rFonts w:ascii="Gill Sans MT" w:cs="Gill Sans MT" w:eastAsia="Gill Sans MT" w:hAnsi="Gill Sans MT"/>
                <w:color w:val="FFFFFF"/>
                <w:sz w:val="16"/>
                <w:szCs w:val="16"/>
              </w:rPr>
              <w:t xml:space="preserve">Public-record screen</w:t>
            </w:r>
          </w:p>
          <w:p>
            <w:pPr>
              <w:spacing w:after="40" w:before="0" w:line="240"/>
              <w:jc w:val="right"/>
            </w:pPr>
            <w:r>
              <w:rPr>
                <w:rFonts w:ascii="Gill Sans MT" w:cs="Gill Sans MT" w:eastAsia="Gill Sans MT" w:hAnsi="Gill Sans MT"/>
                <w:color w:val="FFFFFF"/>
                <w:sz w:val="16"/>
                <w:szCs w:val="16"/>
              </w:rPr>
              <w:t xml:space="preserve">Not a portfolio company</w:t>
            </w:r>
          </w:p>
        </w:tc>
      </w:tr>
    </w:tbl>
    <w:p>
      <w:pPr>
        <w:spacing w:after="60" w:before="0" w:line="276"/>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none" w:color="FFFFFF" w:sz="0"/>
              <w:bottom w:val="none" w:color="FFFFFF" w:sz="0"/>
              <w:right w:val="none" w:color="FFFFFF" w:sz="0"/>
            </w:tcBorders>
            <w:shd w:fill="0B4E6F" w:color="auto" w:val="clear"/>
            <w:tcMar>
              <w:top w:type="dxa" w:w="130"/>
              <w:left w:type="dxa" w:w="220"/>
              <w:bottom w:type="dxa" w:w="130"/>
              <w:right w:type="dxa" w:w="220"/>
            </w:tcMar>
          </w:tcPr>
          <w:p>
            <w:pPr>
              <w:spacing w:after="0" w:before="0" w:line="264"/>
            </w:pPr>
            <w:r>
              <w:rPr>
                <w:rFonts w:ascii="Gill Sans MT" w:cs="Gill Sans MT" w:eastAsia="Gill Sans MT" w:hAnsi="Gill Sans MT"/>
                <w:b/>
                <w:bCs/>
                <w:color w:val="FFFFFF"/>
                <w:sz w:val="21"/>
                <w:szCs w:val="21"/>
              </w:rPr>
              <w:t xml:space="preserve">Acme Scheduling scores as a feature, not a company.</w:t>
            </w:r>
          </w:p>
        </w:tc>
      </w:tr>
    </w:tbl>
    <w:p>
      <w:pPr>
        <w:spacing w:after="80" w:before="0" w:line="276"/>
      </w:pPr>
    </w:p>
    <w:p>
      <w:pPr>
        <w:spacing w:after="80" w:before="0" w:line="240"/>
      </w:pPr>
      <w:r>
        <w:rPr>
          <w:rFonts w:ascii="Gill Sans MT" w:cs="Gill Sans MT" w:eastAsia="Gill Sans MT" w:hAnsi="Gill Sans MT"/>
          <w:color w:val="646A7A"/>
          <w:sz w:val="15"/>
          <w:szCs w:val="15"/>
        </w:rPr>
        <w:t xml:space="preserve">Public course schedule and student planner for US colleges, fed by a one-way SQL export from the institution's student information system. No legal entity, founders, funding or headcount could be found; the domain was registered on 17 April 2026. Presumed founder-owned. Not a portfolio company.</w:t>
      </w:r>
    </w:p>
    <w:p>
      <w:pPr>
        <w:spacing w:after="80" w:before="0" w:line="240"/>
      </w:pPr>
      <w:r>
        <w:rPr>
          <w:rFonts w:ascii="Gill Sans MT" w:cs="Gill Sans MT" w:eastAsia="Gill Sans MT" w:hAnsi="Gill Sans MT"/>
          <w:color w:val="646A7A"/>
          <w:sz w:val="15"/>
          <w:szCs w:val="15"/>
        </w:rPr>
        <w:t xml:space="preserve">Basis: 45 dated, sourced public facts gathered on 22 September 2026 (evidence log in Appendix B); scored against the nine-area v2.0 structure and weights. Bands: Resilient 8.5+, Solid 7.0 to 8.4, Thin 5.5 to 6.9, Eroding below 5.5. N/E = not evidenced; the weight is renormalised across evidenced drivers.</w:t>
      </w:r>
    </w:p>
    <w:p>
      <w:pPr>
        <w:keepNext/>
        <w:pBdr>
          <w:bottom w:val="single" w:color="132246" w:sz="6" w:space="3"/>
        </w:pBdr>
        <w:spacing w:after="140" w:before="320" w:line="240"/>
      </w:pPr>
      <w:r>
        <w:rPr>
          <w:rFonts w:ascii="Gill Sans MT" w:cs="Gill Sans MT" w:eastAsia="Gill Sans MT" w:hAnsi="Gill Sans MT"/>
          <w:b/>
          <w:bCs/>
          <w:color w:val="132246"/>
          <w:sz w:val="24"/>
          <w:szCs w:val="24"/>
        </w:rPr>
        <w:t xml:space="preserve">Scorecard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27"/>
        <w:gridCol w:w="1927"/>
        <w:gridCol w:w="1927"/>
        <w:gridCol w:w="1927"/>
        <w:gridCol w:w="1930"/>
      </w:tblGrid>
      <w:tr>
        <w:tc>
          <w:tcPr>
            <w:tcW w:type="dxa" w:w="1927"/>
            <w:tcBorders>
              <w:top w:val="single" w:color="132246" w:sz="24"/>
              <w:left w:val="single" w:color="FFFFFF" w:sz="12"/>
              <w:bottom w:val="none" w:color="FFFFFF" w:sz="0"/>
              <w:right w:val="single" w:color="FFFFFF" w:sz="12"/>
            </w:tcBorders>
            <w:shd w:fill="F2F2F2" w:color="auto" w:val="clear"/>
            <w:tcMar>
              <w:top w:type="dxa" w:w="90"/>
              <w:left w:type="dxa" w:w="120"/>
              <w:bottom w:type="dxa" w:w="110"/>
              <w:right w:type="dxa" w:w="100"/>
            </w:tcMar>
          </w:tcPr>
          <w:p>
            <w:pPr>
              <w:keepNext/>
              <w:spacing w:after="60" w:before="0" w:line="240"/>
            </w:pPr>
            <w:r>
              <w:rPr>
                <w:rFonts w:ascii="Gill Sans MT" w:cs="Gill Sans MT" w:eastAsia="Gill Sans MT" w:hAnsi="Gill Sans MT"/>
                <w:caps/>
                <w:color w:val="646A7A"/>
                <w:sz w:val="14"/>
                <w:szCs w:val="14"/>
              </w:rPr>
              <w:t xml:space="preserve">Structural defensibility</w:t>
            </w:r>
          </w:p>
          <w:p>
            <w:pPr>
              <w:keepNext/>
              <w:spacing w:after="40" w:before="0" w:line="240"/>
            </w:pPr>
            <w:r>
              <w:rPr>
                <w:rFonts w:ascii="Gill Sans MT" w:cs="Gill Sans MT" w:eastAsia="Gill Sans MT" w:hAnsi="Gill Sans MT"/>
                <w:b/>
                <w:bCs/>
                <w:color w:val="C0392B"/>
                <w:sz w:val="30"/>
                <w:szCs w:val="30"/>
              </w:rPr>
              <w:t xml:space="preserve">4.9</w:t>
            </w:r>
          </w:p>
          <w:p>
            <w:pPr>
              <w:keepNext/>
              <w:spacing w:after="0" w:before="0" w:line="220"/>
            </w:pPr>
            <w:r>
              <w:rPr>
                <w:rFonts w:ascii="Gill Sans MT" w:cs="Gill Sans MT" w:eastAsia="Gill Sans MT" w:hAnsi="Gill Sans MT"/>
                <w:color w:val="2E3232"/>
                <w:sz w:val="15"/>
                <w:szCs w:val="15"/>
              </w:rPr>
              <w:t xml:space="preserve">Eroding</w:t>
            </w:r>
          </w:p>
        </w:tc>
        <w:tc>
          <w:tcPr>
            <w:tcW w:type="dxa" w:w="1927"/>
            <w:tcBorders>
              <w:top w:val="single" w:color="132246" w:sz="24"/>
              <w:left w:val="single" w:color="FFFFFF" w:sz="12"/>
              <w:bottom w:val="none" w:color="FFFFFF" w:sz="0"/>
              <w:right w:val="single" w:color="FFFFFF" w:sz="12"/>
            </w:tcBorders>
            <w:shd w:fill="F2F2F2" w:color="auto" w:val="clear"/>
            <w:tcMar>
              <w:top w:type="dxa" w:w="90"/>
              <w:left w:type="dxa" w:w="120"/>
              <w:bottom w:type="dxa" w:w="110"/>
              <w:right w:type="dxa" w:w="100"/>
            </w:tcMar>
          </w:tcPr>
          <w:p>
            <w:pPr>
              <w:keepNext/>
              <w:spacing w:after="60" w:before="0" w:line="240"/>
            </w:pPr>
            <w:r>
              <w:rPr>
                <w:rFonts w:ascii="Gill Sans MT" w:cs="Gill Sans MT" w:eastAsia="Gill Sans MT" w:hAnsi="Gill Sans MT"/>
                <w:caps/>
                <w:color w:val="646A7A"/>
                <w:sz w:val="14"/>
                <w:szCs w:val="14"/>
              </w:rPr>
              <w:t xml:space="preserve">AI execution</w:t>
            </w:r>
          </w:p>
          <w:p>
            <w:pPr>
              <w:keepNext/>
              <w:spacing w:after="40" w:before="0" w:line="240"/>
            </w:pPr>
            <w:r>
              <w:rPr>
                <w:rFonts w:ascii="Gill Sans MT" w:cs="Gill Sans MT" w:eastAsia="Gill Sans MT" w:hAnsi="Gill Sans MT"/>
                <w:b/>
                <w:bCs/>
                <w:color w:val="132246"/>
                <w:sz w:val="30"/>
                <w:szCs w:val="30"/>
              </w:rPr>
              <w:t xml:space="preserve">3.1</w:t>
            </w:r>
          </w:p>
          <w:p>
            <w:pPr>
              <w:keepNext/>
              <w:spacing w:after="0" w:before="0" w:line="220"/>
            </w:pPr>
            <w:r>
              <w:rPr>
                <w:rFonts w:ascii="Gill Sans MT" w:cs="Gill Sans MT" w:eastAsia="Gill Sans MT" w:hAnsi="Gill Sans MT"/>
                <w:color w:val="2E3232"/>
                <w:sz w:val="15"/>
                <w:szCs w:val="15"/>
              </w:rPr>
              <w:t xml:space="preserve">below 7.0 threshold</w:t>
            </w:r>
          </w:p>
        </w:tc>
        <w:tc>
          <w:tcPr>
            <w:tcW w:type="dxa" w:w="1927"/>
            <w:tcBorders>
              <w:top w:val="single" w:color="132246" w:sz="24"/>
              <w:left w:val="single" w:color="FFFFFF" w:sz="12"/>
              <w:bottom w:val="none" w:color="FFFFFF" w:sz="0"/>
              <w:right w:val="single" w:color="FFFFFF" w:sz="12"/>
            </w:tcBorders>
            <w:shd w:fill="F2F2F2" w:color="auto" w:val="clear"/>
            <w:tcMar>
              <w:top w:type="dxa" w:w="90"/>
              <w:left w:type="dxa" w:w="120"/>
              <w:bottom w:type="dxa" w:w="110"/>
              <w:right w:type="dxa" w:w="100"/>
            </w:tcMar>
          </w:tcPr>
          <w:p>
            <w:pPr>
              <w:keepNext/>
              <w:spacing w:after="60" w:before="0" w:line="240"/>
            </w:pPr>
            <w:r>
              <w:rPr>
                <w:rFonts w:ascii="Gill Sans MT" w:cs="Gill Sans MT" w:eastAsia="Gill Sans MT" w:hAnsi="Gill Sans MT"/>
                <w:caps/>
                <w:color w:val="646A7A"/>
                <w:sz w:val="14"/>
                <w:szCs w:val="14"/>
              </w:rPr>
              <w:t xml:space="preserve">Quadrant</w:t>
            </w:r>
          </w:p>
          <w:p>
            <w:pPr>
              <w:keepNext/>
              <w:spacing w:after="40" w:before="0" w:line="240"/>
            </w:pPr>
            <w:r>
              <w:rPr>
                <w:rFonts w:ascii="Gill Sans MT" w:cs="Gill Sans MT" w:eastAsia="Gill Sans MT" w:hAnsi="Gill Sans MT"/>
                <w:b/>
                <w:bCs/>
                <w:color w:val="132246"/>
                <w:sz w:val="20"/>
                <w:szCs w:val="20"/>
              </w:rPr>
              <w:t xml:space="preserve">Neither</w:t>
            </w:r>
          </w:p>
          <w:p>
            <w:pPr>
              <w:keepNext/>
              <w:spacing w:after="0" w:before="0" w:line="220"/>
            </w:pPr>
            <w:r>
              <w:rPr>
                <w:rFonts w:ascii="Gill Sans MT" w:cs="Gill Sans MT" w:eastAsia="Gill Sans MT" w:hAnsi="Gill Sans MT"/>
                <w:color w:val="2E3232"/>
                <w:sz w:val="15"/>
                <w:szCs w:val="15"/>
              </w:rPr>
              <w:t xml:space="preserve">threshold 7.0 on both axes</w:t>
            </w:r>
          </w:p>
        </w:tc>
        <w:tc>
          <w:tcPr>
            <w:tcW w:type="dxa" w:w="1927"/>
            <w:tcBorders>
              <w:top w:val="single" w:color="132246" w:sz="24"/>
              <w:left w:val="single" w:color="FFFFFF" w:sz="12"/>
              <w:bottom w:val="none" w:color="FFFFFF" w:sz="0"/>
              <w:right w:val="single" w:color="FFFFFF" w:sz="12"/>
            </w:tcBorders>
            <w:shd w:fill="F2F2F2" w:color="auto" w:val="clear"/>
            <w:tcMar>
              <w:top w:type="dxa" w:w="90"/>
              <w:left w:type="dxa" w:w="120"/>
              <w:bottom w:type="dxa" w:w="110"/>
              <w:right w:type="dxa" w:w="100"/>
            </w:tcMar>
          </w:tcPr>
          <w:p>
            <w:pPr>
              <w:keepNext/>
              <w:spacing w:after="60" w:before="0" w:line="240"/>
            </w:pPr>
            <w:r>
              <w:rPr>
                <w:rFonts w:ascii="Gill Sans MT" w:cs="Gill Sans MT" w:eastAsia="Gill Sans MT" w:hAnsi="Gill Sans MT"/>
                <w:caps/>
                <w:color w:val="646A7A"/>
                <w:sz w:val="14"/>
                <w:szCs w:val="14"/>
              </w:rPr>
              <w:t xml:space="preserve">Weakest evidenced area</w:t>
            </w:r>
          </w:p>
          <w:p>
            <w:pPr>
              <w:keepNext/>
              <w:spacing w:after="40" w:before="0" w:line="240"/>
            </w:pPr>
            <w:r>
              <w:rPr>
                <w:rFonts w:ascii="Gill Sans MT" w:cs="Gill Sans MT" w:eastAsia="Gill Sans MT" w:hAnsi="Gill Sans MT"/>
                <w:b/>
                <w:bCs/>
                <w:color w:val="132246"/>
                <w:sz w:val="30"/>
                <w:szCs w:val="30"/>
              </w:rPr>
              <w:t xml:space="preserve">B1  3.8</w:t>
            </w:r>
          </w:p>
          <w:p>
            <w:pPr>
              <w:keepNext/>
              <w:spacing w:after="0" w:before="0" w:line="220"/>
            </w:pPr>
            <w:r>
              <w:rPr>
                <w:rFonts w:ascii="Gill Sans MT" w:cs="Gill Sans MT" w:eastAsia="Gill Sans MT" w:hAnsi="Gill Sans MT"/>
                <w:color w:val="2E3232"/>
                <w:sz w:val="15"/>
                <w:szCs w:val="15"/>
              </w:rPr>
              <w:t xml:space="preserve">Data moat</w:t>
            </w:r>
          </w:p>
        </w:tc>
        <w:tc>
          <w:tcPr>
            <w:tcW w:type="dxa" w:w="1930"/>
            <w:tcBorders>
              <w:top w:val="single" w:color="132246" w:sz="24"/>
              <w:left w:val="single" w:color="FFFFFF" w:sz="12"/>
              <w:bottom w:val="none" w:color="FFFFFF" w:sz="0"/>
              <w:right w:val="single" w:color="FFFFFF" w:sz="12"/>
            </w:tcBorders>
            <w:shd w:fill="F2F2F2" w:color="auto" w:val="clear"/>
            <w:tcMar>
              <w:top w:type="dxa" w:w="90"/>
              <w:left w:type="dxa" w:w="120"/>
              <w:bottom w:type="dxa" w:w="110"/>
              <w:right w:type="dxa" w:w="100"/>
            </w:tcMar>
          </w:tcPr>
          <w:p>
            <w:pPr>
              <w:keepNext/>
              <w:spacing w:after="60" w:before="0" w:line="240"/>
            </w:pPr>
            <w:r>
              <w:rPr>
                <w:rFonts w:ascii="Gill Sans MT" w:cs="Gill Sans MT" w:eastAsia="Gill Sans MT" w:hAnsi="Gill Sans MT"/>
                <w:caps/>
                <w:color w:val="646A7A"/>
                <w:sz w:val="14"/>
                <w:szCs w:val="14"/>
              </w:rPr>
              <w:t xml:space="preserve">Coverage / evidence</w:t>
            </w:r>
          </w:p>
          <w:p>
            <w:pPr>
              <w:keepNext/>
              <w:spacing w:after="40" w:before="0" w:line="240"/>
            </w:pPr>
            <w:r>
              <w:rPr>
                <w:rFonts w:ascii="Gill Sans MT" w:cs="Gill Sans MT" w:eastAsia="Gill Sans MT" w:hAnsi="Gill Sans MT"/>
                <w:b/>
                <w:bCs/>
                <w:color w:val="132246"/>
                <w:sz w:val="30"/>
                <w:szCs w:val="30"/>
              </w:rPr>
              <w:t xml:space="preserve">94%</w:t>
            </w:r>
          </w:p>
          <w:p>
            <w:pPr>
              <w:keepNext/>
              <w:spacing w:after="0" w:before="0" w:line="220"/>
            </w:pPr>
            <w:r>
              <w:rPr>
                <w:rFonts w:ascii="Gill Sans MT" w:cs="Gill Sans MT" w:eastAsia="Gill Sans MT" w:hAnsi="Gill Sans MT"/>
                <w:color w:val="2E3232"/>
                <w:sz w:val="15"/>
                <w:szCs w:val="15"/>
              </w:rPr>
              <w:t xml:space="preserve">of weight evidenced; 69% on high-reliability sources</w:t>
            </w:r>
          </w:p>
        </w:tc>
      </w:tr>
    </w:tbl>
    <w:p>
      <w:pPr>
        <w:spacing w:after="100" w:before="0" w:line="276"/>
      </w:pPr>
    </w:p>
    <w:p>
      <w:pPr>
        <w:spacing w:after="60" w:before="0"/>
        <w:jc w:val="center"/>
      </w:pPr>
      <w:r>
        <w:drawing>
          <wp:inline distT="0" distB="0" distL="0" distR="0">
            <wp:extent cx="55816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2581275"/>
                    </a:xfrm>
                    <a:prstGeom prst="rect">
                      <a:avLst/>
                    </a:prstGeom>
                  </pic:spPr>
                </pic:pic>
              </a:graphicData>
            </a:graphic>
          </wp:inline>
        </w:drawing>
      </w:r>
    </w:p>
    <w:p>
      <w:pPr>
        <w:spacing w:after="80" w:before="0" w:line="240"/>
      </w:pPr>
      <w:r>
        <w:rPr>
          <w:rFonts w:ascii="Gill Sans MT" w:cs="Gill Sans MT" w:eastAsia="Gill Sans MT" w:hAnsi="Gill Sans MT"/>
          <w:color w:val="646A7A"/>
          <w:sz w:val="15"/>
          <w:szCs w:val="15"/>
        </w:rPr>
        <w:t xml:space="preserve">Weighted geometric mean 4.8; arithmetic minus geometric gap 0.2 (a wide gap means the weakness sits in one place). Strongest area C3 Unit economics at 8.7. Areas in the Eroding range (below 5.5): A2, A3, B1, B2, B3, C2.</w:t>
      </w:r>
    </w:p>
    <w:p>
      <w:pPr>
        <w:keepNext/>
        <w:pBdr>
          <w:bottom w:val="single" w:color="132246" w:sz="6" w:space="3"/>
        </w:pBdr>
        <w:spacing w:after="140" w:before="320" w:line="240"/>
      </w:pPr>
      <w:r>
        <w:rPr>
          <w:rFonts w:ascii="Gill Sans MT" w:cs="Gill Sans MT" w:eastAsia="Gill Sans MT" w:hAnsi="Gill Sans MT"/>
          <w:b/>
          <w:bCs/>
          <w:color w:val="132246"/>
          <w:sz w:val="24"/>
          <w:szCs w:val="24"/>
        </w:rPr>
        <w:t xml:space="preserve">Company snapshot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238"/>
      </w:tblGrid>
      <w:tr>
        <w:trPr>
          <w:cantSplit/>
        </w:trPr>
        <w:tc>
          <w:tcPr>
            <w:tcW w:type="dxa" w:w="2400"/>
            <w:tcBorders>
              <w:top w:val="none" w:color="FFFFFF" w:sz="0"/>
              <w:left w:val="none" w:color="FFFFFF" w:sz="0"/>
              <w:bottom w:val="dotted" w:color="E9EBEB" w:sz="4"/>
              <w:right w:val="none" w:color="FFFFFF" w:sz="0"/>
            </w:tcBorders>
            <w:tcMar>
              <w:top w:type="dxa" w:w="45"/>
              <w:left w:type="dxa" w:w="80"/>
              <w:bottom w:type="dxa" w:w="45"/>
              <w:right w:type="dxa" w:w="80"/>
            </w:tcMar>
          </w:tcPr>
          <w:p>
            <w:pPr>
              <w:keepNext/>
              <w:spacing w:after="0" w:before="0" w:line="240"/>
            </w:pPr>
            <w:r>
              <w:rPr>
                <w:rFonts w:ascii="Gill Sans MT" w:cs="Gill Sans MT" w:eastAsia="Gill Sans MT" w:hAnsi="Gill Sans MT"/>
                <w:b/>
                <w:bCs/>
                <w:color w:val="132246"/>
                <w:sz w:val="17"/>
                <w:szCs w:val="17"/>
              </w:rPr>
              <w:t xml:space="preserve">Legal entity</w:t>
            </w:r>
          </w:p>
        </w:tc>
        <w:tc>
          <w:tcPr>
            <w:tcW w:type="dxa" w:w="7238"/>
            <w:tcBorders>
              <w:top w:val="none" w:color="FFFFFF" w:sz="0"/>
              <w:left w:val="none" w:color="FFFFFF" w:sz="0"/>
              <w:bottom w:val="dotted" w:color="E9EBEB" w:sz="4"/>
              <w:right w:val="none" w:color="FFFFFF" w:sz="0"/>
            </w:tcBorders>
            <w:tcMar>
              <w:top w:type="dxa" w:w="45"/>
              <w:left w:type="dxa" w:w="80"/>
              <w:bottom w:type="dxa" w:w="45"/>
              <w:right w:type="dxa" w:w="80"/>
            </w:tcMar>
          </w:tcPr>
          <w:p>
            <w:pPr>
              <w:keepNext/>
              <w:spacing w:after="0" w:before="0" w:line="240"/>
            </w:pPr>
            <w:r>
              <w:rPr>
                <w:rFonts w:ascii="Gill Sans MT" w:cs="Gill Sans MT" w:eastAsia="Gill Sans MT" w:hAnsi="Gill Sans MT"/>
                <w:color w:val="2E3232"/>
                <w:sz w:val="17"/>
                <w:szCs w:val="17"/>
              </w:rPr>
              <w:t xml:space="preserve">Not disclosed; no registry, Crunchbase or LinkedIn record</w:t>
            </w:r>
          </w:p>
        </w:tc>
      </w:tr>
      <w:tr>
        <w:trPr>
          <w:cantSplit/>
        </w:trPr>
        <w:tc>
          <w:tcPr>
            <w:tcW w:type="dxa" w:w="24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keepNext/>
              <w:spacing w:after="0" w:before="0" w:line="240"/>
            </w:pPr>
            <w:r>
              <w:rPr>
                <w:rFonts w:ascii="Gill Sans MT" w:cs="Gill Sans MT" w:eastAsia="Gill Sans MT" w:hAnsi="Gill Sans MT"/>
                <w:b/>
                <w:bCs/>
                <w:color w:val="132246"/>
                <w:sz w:val="17"/>
                <w:szCs w:val="17"/>
              </w:rPr>
              <w:t xml:space="preserve">Age</w:t>
            </w:r>
          </w:p>
        </w:tc>
        <w:tc>
          <w:tcPr>
            <w:tcW w:type="dxa" w:w="7238"/>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keepNext/>
              <w:spacing w:after="0" w:before="0" w:line="240"/>
            </w:pPr>
            <w:r>
              <w:rPr>
                <w:rFonts w:ascii="Gill Sans MT" w:cs="Gill Sans MT" w:eastAsia="Gill Sans MT" w:hAnsi="Gill Sans MT"/>
                <w:color w:val="2E3232"/>
                <w:sz w:val="17"/>
                <w:szCs w:val="17"/>
              </w:rPr>
              <w:t xml:space="preserve">acmescheduling.example registered 17 Apr 2026</w:t>
            </w:r>
          </w:p>
        </w:tc>
      </w:tr>
      <w:tr>
        <w:trPr>
          <w:cantSplit/>
        </w:trPr>
        <w:tc>
          <w:tcPr>
            <w:tcW w:type="dxa" w:w="2400"/>
            <w:tcBorders>
              <w:top w:val="none" w:color="FFFFFF" w:sz="0"/>
              <w:left w:val="none" w:color="FFFFFF" w:sz="0"/>
              <w:bottom w:val="dotted" w:color="E9EBEB" w:sz="4"/>
              <w:right w:val="none" w:color="FFFFFF" w:sz="0"/>
            </w:tcBorders>
            <w:tcMar>
              <w:top w:type="dxa" w:w="45"/>
              <w:left w:type="dxa" w:w="80"/>
              <w:bottom w:type="dxa" w:w="45"/>
              <w:right w:type="dxa" w:w="80"/>
            </w:tcMar>
          </w:tcPr>
          <w:p>
            <w:pPr>
              <w:keepNext/>
              <w:spacing w:after="0" w:before="0" w:line="240"/>
            </w:pPr>
            <w:r>
              <w:rPr>
                <w:rFonts w:ascii="Gill Sans MT" w:cs="Gill Sans MT" w:eastAsia="Gill Sans MT" w:hAnsi="Gill Sans MT"/>
                <w:b/>
                <w:bCs/>
                <w:color w:val="132246"/>
                <w:sz w:val="17"/>
                <w:szCs w:val="17"/>
              </w:rPr>
              <w:t xml:space="preserve">Team</w:t>
            </w:r>
          </w:p>
        </w:tc>
        <w:tc>
          <w:tcPr>
            <w:tcW w:type="dxa" w:w="7238"/>
            <w:tcBorders>
              <w:top w:val="none" w:color="FFFFFF" w:sz="0"/>
              <w:left w:val="none" w:color="FFFFFF" w:sz="0"/>
              <w:bottom w:val="dotted" w:color="E9EBEB" w:sz="4"/>
              <w:right w:val="none" w:color="FFFFFF" w:sz="0"/>
            </w:tcBorders>
            <w:tcMar>
              <w:top w:type="dxa" w:w="45"/>
              <w:left w:type="dxa" w:w="80"/>
              <w:bottom w:type="dxa" w:w="45"/>
              <w:right w:type="dxa" w:w="80"/>
            </w:tcMar>
          </w:tcPr>
          <w:p>
            <w:pPr>
              <w:keepNext/>
              <w:spacing w:after="0" w:before="0" w:line="240"/>
            </w:pPr>
            <w:r>
              <w:rPr>
                <w:rFonts w:ascii="Gill Sans MT" w:cs="Gill Sans MT" w:eastAsia="Gill Sans MT" w:hAnsi="Gill Sans MT"/>
                <w:color w:val="2E3232"/>
                <w:sz w:val="17"/>
                <w:szCs w:val="17"/>
              </w:rPr>
              <w:t xml:space="preserve">Not disclosed; demo requests route to a webmail address</w:t>
            </w:r>
          </w:p>
        </w:tc>
      </w:tr>
      <w:tr>
        <w:trPr>
          <w:cantSplit/>
        </w:trPr>
        <w:tc>
          <w:tcPr>
            <w:tcW w:type="dxa" w:w="24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keepNext/>
              <w:spacing w:after="0" w:before="0" w:line="240"/>
            </w:pPr>
            <w:r>
              <w:rPr>
                <w:rFonts w:ascii="Gill Sans MT" w:cs="Gill Sans MT" w:eastAsia="Gill Sans MT" w:hAnsi="Gill Sans MT"/>
                <w:b/>
                <w:bCs/>
                <w:color w:val="132246"/>
                <w:sz w:val="17"/>
                <w:szCs w:val="17"/>
              </w:rPr>
              <w:t xml:space="preserve">Revenue</w:t>
            </w:r>
          </w:p>
        </w:tc>
        <w:tc>
          <w:tcPr>
            <w:tcW w:type="dxa" w:w="7238"/>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keepNext/>
              <w:spacing w:after="0" w:before="0" w:line="240"/>
            </w:pPr>
            <w:r>
              <w:rPr>
                <w:rFonts w:ascii="Gill Sans MT" w:cs="Gill Sans MT" w:eastAsia="Gill Sans MT" w:hAnsi="Gill Sans MT"/>
                <w:color w:val="2E3232"/>
                <w:sz w:val="17"/>
                <w:szCs w:val="17"/>
              </w:rPr>
              <w:t xml:space="preserve">Not disclosed; no evidence of a paid live deployment</w:t>
            </w:r>
          </w:p>
        </w:tc>
      </w:tr>
      <w:tr>
        <w:trPr>
          <w:cantSplit/>
        </w:trPr>
        <w:tc>
          <w:tcPr>
            <w:tcW w:type="dxa" w:w="2400"/>
            <w:tcBorders>
              <w:top w:val="none" w:color="FFFFFF" w:sz="0"/>
              <w:left w:val="none" w:color="FFFFFF" w:sz="0"/>
              <w:bottom w:val="dotted" w:color="E9EBEB" w:sz="4"/>
              <w:right w:val="none" w:color="FFFFFF" w:sz="0"/>
            </w:tcBorders>
            <w:tcMar>
              <w:top w:type="dxa" w:w="45"/>
              <w:left w:type="dxa" w:w="80"/>
              <w:bottom w:type="dxa" w:w="45"/>
              <w:right w:type="dxa" w:w="80"/>
            </w:tcMar>
          </w:tcPr>
          <w:p>
            <w:pPr>
              <w:keepNext/>
              <w:spacing w:after="0" w:before="0" w:line="240"/>
            </w:pPr>
            <w:r>
              <w:rPr>
                <w:rFonts w:ascii="Gill Sans MT" w:cs="Gill Sans MT" w:eastAsia="Gill Sans MT" w:hAnsi="Gill Sans MT"/>
                <w:b/>
                <w:bCs/>
                <w:color w:val="132246"/>
                <w:sz w:val="17"/>
                <w:szCs w:val="17"/>
              </w:rPr>
              <w:t xml:space="preserve">Customers</w:t>
            </w:r>
          </w:p>
        </w:tc>
        <w:tc>
          <w:tcPr>
            <w:tcW w:type="dxa" w:w="7238"/>
            <w:tcBorders>
              <w:top w:val="none" w:color="FFFFFF" w:sz="0"/>
              <w:left w:val="none" w:color="FFFFFF" w:sz="0"/>
              <w:bottom w:val="dotted" w:color="E9EBEB" w:sz="4"/>
              <w:right w:val="none" w:color="FFFFFF" w:sz="0"/>
            </w:tcBorders>
            <w:tcMar>
              <w:top w:type="dxa" w:w="45"/>
              <w:left w:type="dxa" w:w="80"/>
              <w:bottom w:type="dxa" w:w="45"/>
              <w:right w:type="dxa" w:w="80"/>
            </w:tcMar>
          </w:tcPr>
          <w:p>
            <w:pPr>
              <w:keepNext/>
              <w:spacing w:after="0" w:before="0" w:line="240"/>
            </w:pPr>
            <w:r>
              <w:rPr>
                <w:rFonts w:ascii="Gill Sans MT" w:cs="Gill Sans MT" w:eastAsia="Gill Sans MT" w:hAnsi="Gill Sans MT"/>
                <w:color w:val="2E3232"/>
                <w:sz w:val="17"/>
                <w:szCs w:val="17"/>
              </w:rPr>
              <w:t xml:space="preserve">One named community college; three placeholder logos</w:t>
            </w:r>
          </w:p>
        </w:tc>
      </w:tr>
      <w:tr>
        <w:trPr>
          <w:cantSplit/>
        </w:trPr>
        <w:tc>
          <w:tcPr>
            <w:tcW w:type="dxa" w:w="24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keepNext/>
              <w:spacing w:after="0" w:before="0" w:line="240"/>
            </w:pPr>
            <w:r>
              <w:rPr>
                <w:rFonts w:ascii="Gill Sans MT" w:cs="Gill Sans MT" w:eastAsia="Gill Sans MT" w:hAnsi="Gill Sans MT"/>
                <w:b/>
                <w:bCs/>
                <w:color w:val="132246"/>
                <w:sz w:val="17"/>
                <w:szCs w:val="17"/>
              </w:rPr>
              <w:t xml:space="preserve">Product</w:t>
            </w:r>
          </w:p>
        </w:tc>
        <w:tc>
          <w:tcPr>
            <w:tcW w:type="dxa" w:w="7238"/>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keepNext/>
              <w:spacing w:after="0" w:before="0" w:line="240"/>
            </w:pPr>
            <w:r>
              <w:rPr>
                <w:rFonts w:ascii="Gill Sans MT" w:cs="Gill Sans MT" w:eastAsia="Gill Sans MT" w:hAnsi="Gill Sans MT"/>
                <w:color w:val="2E3232"/>
                <w:sz w:val="17"/>
                <w:szCs w:val="17"/>
              </w:rPr>
              <w:t xml:space="preserve">Public schedule with planner and shareable cart; admin analytics marketed as 28 modules</w:t>
            </w:r>
          </w:p>
        </w:tc>
      </w:tr>
      <w:tr>
        <w:trPr>
          <w:cantSplit/>
        </w:trPr>
        <w:tc>
          <w:tcPr>
            <w:tcW w:type="dxa" w:w="2400"/>
            <w:tcBorders>
              <w:top w:val="none" w:color="FFFFFF" w:sz="0"/>
              <w:left w:val="none" w:color="FFFFFF" w:sz="0"/>
              <w:bottom w:val="dotted" w:color="E9EBEB" w:sz="4"/>
              <w:right w:val="none" w:color="FFFFFF" w:sz="0"/>
            </w:tcBorders>
            <w:tcMar>
              <w:top w:type="dxa" w:w="45"/>
              <w:left w:type="dxa" w:w="80"/>
              <w:bottom w:type="dxa" w:w="45"/>
              <w:right w:type="dxa" w:w="80"/>
            </w:tcMar>
          </w:tcPr>
          <w:p>
            <w:pPr>
              <w:keepNext/>
              <w:spacing w:after="0" w:before="0" w:line="240"/>
            </w:pPr>
            <w:r>
              <w:rPr>
                <w:rFonts w:ascii="Gill Sans MT" w:cs="Gill Sans MT" w:eastAsia="Gill Sans MT" w:hAnsi="Gill Sans MT"/>
                <w:b/>
                <w:bCs/>
                <w:color w:val="132246"/>
                <w:sz w:val="17"/>
                <w:szCs w:val="17"/>
              </w:rPr>
              <w:t xml:space="preserve">Pricing</w:t>
            </w:r>
          </w:p>
        </w:tc>
        <w:tc>
          <w:tcPr>
            <w:tcW w:type="dxa" w:w="7238"/>
            <w:tcBorders>
              <w:top w:val="none" w:color="FFFFFF" w:sz="0"/>
              <w:left w:val="none" w:color="FFFFFF" w:sz="0"/>
              <w:bottom w:val="dotted" w:color="E9EBEB" w:sz="4"/>
              <w:right w:val="none" w:color="FFFFFF" w:sz="0"/>
            </w:tcBorders>
            <w:tcMar>
              <w:top w:type="dxa" w:w="45"/>
              <w:left w:type="dxa" w:w="80"/>
              <w:bottom w:type="dxa" w:w="45"/>
              <w:right w:type="dxa" w:w="80"/>
            </w:tcMar>
          </w:tcPr>
          <w:p>
            <w:pPr>
              <w:keepNext/>
              <w:spacing w:after="0" w:before="0" w:line="240"/>
            </w:pPr>
            <w:r>
              <w:rPr>
                <w:rFonts w:ascii="Gill Sans MT" w:cs="Gill Sans MT" w:eastAsia="Gill Sans MT" w:hAnsi="Gill Sans MT"/>
                <w:color w:val="2E3232"/>
                <w:sz w:val="17"/>
                <w:szCs w:val="17"/>
              </w:rPr>
              <w:t xml:space="preserve">Annual institutional contracts, no per-seat fees; three tiers, quote only</w:t>
            </w:r>
          </w:p>
        </w:tc>
      </w:tr>
      <w:tr>
        <w:trPr>
          <w:cantSplit/>
        </w:trPr>
        <w:tc>
          <w:tcPr>
            <w:tcW w:type="dxa" w:w="24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keepNext w:val="false"/>
              <w:spacing w:after="0" w:before="0" w:line="240"/>
            </w:pPr>
            <w:r>
              <w:rPr>
                <w:rFonts w:ascii="Gill Sans MT" w:cs="Gill Sans MT" w:eastAsia="Gill Sans MT" w:hAnsi="Gill Sans MT"/>
                <w:b/>
                <w:bCs/>
                <w:color w:val="132246"/>
                <w:sz w:val="17"/>
                <w:szCs w:val="17"/>
              </w:rPr>
              <w:t xml:space="preserve">Compliance</w:t>
            </w:r>
          </w:p>
        </w:tc>
        <w:tc>
          <w:tcPr>
            <w:tcW w:type="dxa" w:w="7238"/>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keepNext w:val="false"/>
              <w:spacing w:after="0" w:before="0" w:line="240"/>
            </w:pPr>
            <w:r>
              <w:rPr>
                <w:rFonts w:ascii="Gill Sans MT" w:cs="Gill Sans MT" w:eastAsia="Gill Sans MT" w:hAnsi="Gill Sans MT"/>
                <w:color w:val="2E3232"/>
                <w:sz w:val="17"/>
                <w:szCs w:val="17"/>
              </w:rPr>
              <w:t xml:space="preserve">No VPAT, SOC 2, HECVAT, FERPA statement, privacy policy or terms published</w:t>
            </w:r>
          </w:p>
        </w:tc>
      </w:tr>
    </w:tbl>
    <w:p>
      <w:pPr>
        <w:spacing w:after="100" w:before="0" w:line="276"/>
      </w:pPr>
    </w:p>
    <w:p>
      <w:pPr>
        <w:keepNext/>
        <w:pBdr>
          <w:bottom w:val="single" w:color="132246" w:sz="6" w:space="3"/>
        </w:pBdr>
        <w:spacing w:after="140" w:before="320" w:line="240"/>
      </w:pPr>
      <w:r>
        <w:rPr>
          <w:rFonts w:ascii="Gill Sans MT" w:cs="Gill Sans MT" w:eastAsia="Gill Sans MT" w:hAnsi="Gill Sans MT"/>
          <w:b/>
          <w:bCs/>
          <w:color w:val="132246"/>
          <w:sz w:val="24"/>
          <w:szCs w:val="24"/>
        </w:rPr>
        <w:t xml:space="preserve">Reading</w:t>
      </w:r>
    </w:p>
    <w:p>
      <w:pPr>
        <w:spacing w:after="140" w:before="0" w:line="276"/>
      </w:pPr>
      <w:r>
        <w:rPr>
          <w:rFonts w:ascii="Gill Sans MT" w:cs="Gill Sans MT" w:eastAsia="Gill Sans MT" w:hAnsi="Gill Sans MT"/>
          <w:color w:val="2E3232"/>
          <w:sz w:val="20"/>
          <w:szCs w:val="20"/>
        </w:rPr>
        <w:t xml:space="preserve">Acme Scheduling scores as a feature, not a company. It is a read-only presentation and analytics layer over the institution's student information system: data flows one way through a customer-run SQL export, the planner produces a shareable link rather than a registration, and the analytics are standard enrolment aggregations with CSV export [F11, F29, F33]. The status quo it replaces is a free static page [F3], SIS vendors already embed planners with registration write-back [F41], and a free consumer planner exists [F40].</w:t>
      </w:r>
    </w:p>
    <w:p>
      <w:pPr>
        <w:spacing w:after="140" w:before="0" w:line="276"/>
      </w:pPr>
      <w:r>
        <w:rPr>
          <w:rFonts w:ascii="Gill Sans MT" w:cs="Gill Sans MT" w:eastAsia="Gill Sans MT" w:hAnsi="Gill Sans MT"/>
          <w:color w:val="2E3232"/>
          <w:sz w:val="20"/>
          <w:szCs w:val="20"/>
        </w:rPr>
        <w:t xml:space="preserve">The company itself is barely visible. The domain is five months old [F20]; three of four logos on the site are placeholders [F17]; the only real customer name still links its legacy schedule pages for Fall 2026 [F14-F16]; demo requests go to a webmail address [F22]; there is no privacy policy, terms of service, VPAT, SOC 2 or HECVAT [F23-F25], which US higher-education procurement usually requires.</w:t>
      </w:r>
    </w:p>
    <w:p>
      <w:pPr>
        <w:keepNext/>
        <w:spacing w:after="80" w:before="120" w:line="276"/>
      </w:pPr>
      <w:r>
        <w:rPr>
          <w:rFonts w:ascii="Gill Sans MT" w:cs="Gill Sans MT" w:eastAsia="Gill Sans MT" w:hAnsi="Gill Sans MT"/>
          <w:b/>
          <w:bCs/>
          <w:color w:val="132246"/>
          <w:sz w:val="20"/>
          <w:szCs w:val="20"/>
        </w:rPr>
        <w:t xml:space="preserve">What would prove this wrong</w:t>
      </w:r>
    </w:p>
    <w:p>
      <w:pPr>
        <w:spacing w:after="140" w:before="0" w:line="276"/>
      </w:pPr>
      <w:r>
        <w:rPr>
          <w:rFonts w:ascii="Gill Sans MT" w:cs="Gill Sans MT" w:eastAsia="Gill Sans MT" w:hAnsi="Gill Sans MT"/>
          <w:color w:val="2E3232"/>
          <w:sz w:val="20"/>
          <w:szCs w:val="20"/>
        </w:rPr>
        <w:t xml:space="preserve">A very young product should not be expected to have renewals, certifications or reviews; the framework measures the moat that exists today, and a design partner deal with the named college may be live behind the legacy links.</w:t>
      </w:r>
    </w:p>
    <w:p>
      <w:pPr>
        <w:spacing w:after="140" w:before="0" w:line="276"/>
      </w:pPr>
      <w:r>
        <w:rPr>
          <w:rFonts w:ascii="Gill Sans MT" w:cs="Gill Sans MT" w:eastAsia="Gill Sans MT" w:hAnsi="Gill Sans MT"/>
          <w:color w:val="2E3232"/>
          <w:sz w:val="20"/>
          <w:szCs w:val="20"/>
        </w:rPr>
        <w:t xml:space="preserve">Flat institutional pricing with a near-zero cost base is a workable micro-SaaS model; the framework's low score speaks to defensibility, not to whether the founder can make a living.</w:t>
      </w:r>
    </w:p>
    <w:p>
      <w:pPr>
        <w:keepNext/>
        <w:spacing w:after="80" w:before="120" w:line="276"/>
      </w:pPr>
      <w:r>
        <w:rPr>
          <w:rFonts w:ascii="Gill Sans MT" w:cs="Gill Sans MT" w:eastAsia="Gill Sans MT" w:hAnsi="Gill Sans MT"/>
          <w:b/>
          <w:bCs/>
          <w:color w:val="132246"/>
          <w:sz w:val="20"/>
          <w:szCs w:val="20"/>
        </w:rPr>
        <w:t xml:space="preserve">What moves the score</w:t>
      </w:r>
    </w:p>
    <w:p>
      <w:pPr>
        <w:spacing w:after="140" w:before="0" w:line="276"/>
      </w:pPr>
      <w:r>
        <w:rPr>
          <w:rFonts w:ascii="Gill Sans MT" w:cs="Gill Sans MT" w:eastAsia="Gill Sans MT" w:hAnsi="Gill Sans MT"/>
          <w:color w:val="2E3232"/>
          <w:sz w:val="20"/>
          <w:szCs w:val="20"/>
        </w:rPr>
        <w:t xml:space="preserve">A registration hand-off or write-back into Banner, Colleague or Elements would move A3.1 from 1 to 5 and A2.5 from 1 to 5 (+0.3 in total). A VPAT, HECVAT and SOC 2 report would lift B2.3 from 0 to 5 (+0.16) and remove a procurement blocker.</w:t>
      </w:r>
    </w:p>
    <w:p>
      <w:pPr>
        <w:keepNext/>
        <w:pBdr>
          <w:bottom w:val="single" w:color="132246" w:sz="6" w:space="3"/>
        </w:pBdr>
        <w:spacing w:after="140" w:before="320" w:line="240"/>
      </w:pPr>
      <w:r>
        <w:rPr>
          <w:rFonts w:ascii="Gill Sans MT" w:cs="Gill Sans MT" w:eastAsia="Gill Sans MT" w:hAnsi="Gill Sans MT"/>
          <w:b/>
          <w:bCs/>
          <w:color w:val="132246"/>
          <w:sz w:val="24"/>
          <w:szCs w:val="24"/>
        </w:rPr>
        <w:t xml:space="preserve">Area findings</w:t>
      </w:r>
    </w:p>
    <w:p>
      <w:pPr>
        <w:spacing w:after="80" w:before="0" w:line="240"/>
      </w:pPr>
      <w:r>
        <w:rPr>
          <w:rFonts w:ascii="Gill Sans MT" w:cs="Gill Sans MT" w:eastAsia="Gill Sans MT" w:hAnsi="Gill Sans MT"/>
          <w:color w:val="646A7A"/>
          <w:sz w:val="15"/>
          <w:szCs w:val="15"/>
        </w:rPr>
        <w:t xml:space="preserve">Each area shows its score out of 10, its weight in the headline and the share of its driver weight that public evidence allowed us to score. Bracketed references point to the evidence log in Appendix B.</w:t>
      </w:r>
    </w:p>
    <w:p>
      <w:pPr>
        <w:keepNext/>
        <w:pBdr>
          <w:bottom w:val="single" w:color="E9EBEB" w:sz="4" w:space="2"/>
        </w:pBdr>
        <w:tabs>
          <w:tab w:val="right" w:pos="9638"/>
        </w:tabs>
        <w:spacing w:after="60" w:before="200" w:line="240"/>
      </w:pPr>
      <w:r>
        <w:rPr>
          <w:rFonts w:ascii="Gill Sans MT" w:cs="Gill Sans MT" w:eastAsia="Gill Sans MT" w:hAnsi="Gill Sans MT"/>
          <w:b/>
          <w:bCs/>
          <w:color w:val="132246"/>
          <w:sz w:val="20"/>
          <w:szCs w:val="20"/>
        </w:rPr>
        <w:t xml:space="preserve">A1  Workflow &amp; user replacement by AI agents</w:t>
      </w:r>
      <w:r>
        <w:rPr>
          <w:rFonts w:ascii="Gill Sans MT" w:cs="Gill Sans MT" w:eastAsia="Gill Sans MT" w:hAnsi="Gill Sans MT"/>
          <w:color w:val="646A7A"/>
          <w:sz w:val="15"/>
          <w:szCs w:val="15"/>
        </w:rPr>
        <w:tab/>
        <w:t xml:space="preserve">7.0 / 10   ·   weight 11%   ·   coverage 100%</w:t>
      </w:r>
    </w:p>
    <w:p>
      <w:pPr>
        <w:spacing w:after="60" w:before="0" w:line="276"/>
      </w:pPr>
      <w:r>
        <w:rPr>
          <w:rFonts w:ascii="Gill Sans MT" w:cs="Gill Sans MT" w:eastAsia="Gill Sans MT" w:hAnsi="Gill Sans MT"/>
          <w:color w:val="2E3232"/>
          <w:sz w:val="20"/>
          <w:szCs w:val="20"/>
        </w:rPr>
        <w:t xml:space="preserve">Users are the registrar's office, academic advisors, leadership viewers and students [F27, F42, F43]. Tiers cap admin users at 3 to 5, 25 and 50, so seat pressure appears as a tier downgrade rather than churn [F6, F8]. The analytics half is a reporting layer with CSV export and scheduled emails that an agent with SIS access reproduces [F4, F33].</w:t>
      </w:r>
    </w:p>
    <w:p>
      <w:pPr>
        <w:spacing w:after="40" w:before="0" w:line="276"/>
      </w:pPr>
      <w:r>
        <w:rPr>
          <w:rFonts w:ascii="Gill Sans MT" w:cs="Gill Sans MT" w:eastAsia="Gill Sans MT" w:hAnsi="Gill Sans MT"/>
          <w:b/>
          <w:bCs/>
          <w:color w:val="C0392B"/>
          <w:sz w:val="18"/>
          <w:szCs w:val="18"/>
        </w:rPr>
        <w:t xml:space="preserve">Counter: </w:t>
      </w:r>
      <w:r>
        <w:rPr>
          <w:rFonts w:ascii="Gill Sans MT" w:cs="Gill Sans MT" w:eastAsia="Gill Sans MT" w:hAnsi="Gill Sans MT"/>
          <w:i/>
          <w:iCs/>
          <w:color w:val="C0392B"/>
          <w:sz w:val="18"/>
          <w:szCs w:val="18"/>
        </w:rPr>
        <w:t xml:space="preserve">Students do not use agents to browse a schedule; the public page has a user population no automation removes.</w:t>
      </w:r>
    </w:p>
    <w:p>
      <w:pPr>
        <w:spacing w:after="80" w:before="0" w:line="276"/>
      </w:pPr>
      <w:r>
        <w:rPr>
          <w:rFonts w:ascii="Gill Sans MT" w:cs="Gill Sans MT" w:eastAsia="Gill Sans MT" w:hAnsi="Gill Sans MT"/>
          <w:b/>
          <w:bCs/>
          <w:color w:val="646A7A"/>
          <w:sz w:val="16"/>
          <w:szCs w:val="16"/>
        </w:rPr>
        <w:t xml:space="preserve">Gaps: </w:t>
      </w:r>
      <w:r>
        <w:rPr>
          <w:rFonts w:ascii="Gill Sans MT" w:cs="Gill Sans MT" w:eastAsia="Gill Sans MT" w:hAnsi="Gill Sans MT"/>
          <w:i w:val="false"/>
          <w:iCs w:val="false"/>
          <w:color w:val="646A7A"/>
          <w:sz w:val="16"/>
          <w:szCs w:val="16"/>
        </w:rPr>
        <w:t xml:space="preserve">Registrar and scheduling headcount trends; seats in use at the named college.</w:t>
      </w:r>
    </w:p>
    <w:p>
      <w:pPr>
        <w:keepNext/>
        <w:pBdr>
          <w:bottom w:val="single" w:color="E9EBEB" w:sz="4" w:space="2"/>
        </w:pBdr>
        <w:tabs>
          <w:tab w:val="right" w:pos="9638"/>
        </w:tabs>
        <w:spacing w:after="60" w:before="200" w:line="240"/>
      </w:pPr>
      <w:r>
        <w:rPr>
          <w:rFonts w:ascii="Gill Sans MT" w:cs="Gill Sans MT" w:eastAsia="Gill Sans MT" w:hAnsi="Gill Sans MT"/>
          <w:b/>
          <w:bCs/>
          <w:color w:val="132246"/>
          <w:sz w:val="20"/>
          <w:szCs w:val="20"/>
        </w:rPr>
        <w:t xml:space="preserve">B1  Data moat</w:t>
      </w:r>
      <w:r>
        <w:rPr>
          <w:rFonts w:ascii="Gill Sans MT" w:cs="Gill Sans MT" w:eastAsia="Gill Sans MT" w:hAnsi="Gill Sans MT"/>
          <w:color w:val="646A7A"/>
          <w:sz w:val="15"/>
          <w:szCs w:val="15"/>
        </w:rPr>
        <w:tab/>
        <w:t xml:space="preserve">3.8 / 10   ·   weight 12%   ·   coverage 75%</w:t>
      </w:r>
    </w:p>
    <w:p>
      <w:pPr>
        <w:spacing w:after="60" w:before="0" w:line="276"/>
      </w:pPr>
      <w:r>
        <w:rPr>
          <w:rFonts w:ascii="Gill Sans MT" w:cs="Gill Sans MT" w:eastAsia="Gill Sans MT" w:hAnsi="Gill Sans MT"/>
          <w:color w:val="2E3232"/>
          <w:sz w:val="20"/>
          <w:szCs w:val="20"/>
        </w:rPr>
        <w:t xml:space="preserve">First-party behavioural data (searches, filters, adds, conflicts) per institution surfaced as a Seat Demand Index and funnels [F30]; no cross-institution benchmark or data rights [F31]; at most one registration cycle of history [F20].</w:t>
      </w:r>
    </w:p>
    <w:p>
      <w:pPr>
        <w:spacing w:after="40" w:before="0" w:line="276"/>
      </w:pPr>
      <w:r>
        <w:rPr>
          <w:rFonts w:ascii="Gill Sans MT" w:cs="Gill Sans MT" w:eastAsia="Gill Sans MT" w:hAnsi="Gill Sans MT"/>
          <w:b/>
          <w:bCs/>
          <w:color w:val="C0392B"/>
          <w:sz w:val="18"/>
          <w:szCs w:val="18"/>
        </w:rPr>
        <w:t xml:space="preserve">Counter: </w:t>
      </w:r>
      <w:r>
        <w:rPr>
          <w:rFonts w:ascii="Gill Sans MT" w:cs="Gill Sans MT" w:eastAsia="Gill Sans MT" w:hAnsi="Gill Sans MT"/>
          <w:i/>
          <w:iCs/>
          <w:color w:val="C0392B"/>
          <w:sz w:val="18"/>
          <w:szCs w:val="18"/>
        </w:rPr>
        <w:t xml:space="preserve">Demand signals across many colleges would be novel; no SIS vendor publishes them.</w:t>
      </w:r>
    </w:p>
    <w:p>
      <w:pPr>
        <w:spacing w:after="80" w:before="0" w:line="276"/>
      </w:pPr>
      <w:r>
        <w:rPr>
          <w:rFonts w:ascii="Gill Sans MT" w:cs="Gill Sans MT" w:eastAsia="Gill Sans MT" w:hAnsi="Gill Sans MT"/>
          <w:b/>
          <w:bCs/>
          <w:color w:val="646A7A"/>
          <w:sz w:val="16"/>
          <w:szCs w:val="16"/>
        </w:rPr>
        <w:t xml:space="preserve">Gaps: </w:t>
      </w:r>
      <w:r>
        <w:rPr>
          <w:rFonts w:ascii="Gill Sans MT" w:cs="Gill Sans MT" w:eastAsia="Gill Sans MT" w:hAnsi="Gill Sans MT"/>
          <w:i w:val="false"/>
          <w:iCs w:val="false"/>
          <w:color w:val="646A7A"/>
          <w:sz w:val="16"/>
          <w:szCs w:val="16"/>
        </w:rPr>
        <w:t xml:space="preserve">Data-rights clauses; anonymisation; retention.</w:t>
      </w:r>
    </w:p>
    <w:p>
      <w:pPr>
        <w:keepNext/>
        <w:pBdr>
          <w:bottom w:val="single" w:color="E9EBEB" w:sz="4" w:space="2"/>
        </w:pBdr>
        <w:tabs>
          <w:tab w:val="right" w:pos="9638"/>
        </w:tabs>
        <w:spacing w:after="60" w:before="200" w:line="240"/>
      </w:pPr>
      <w:r>
        <w:rPr>
          <w:rFonts w:ascii="Gill Sans MT" w:cs="Gill Sans MT" w:eastAsia="Gill Sans MT" w:hAnsi="Gill Sans MT"/>
          <w:b/>
          <w:bCs/>
          <w:color w:val="132246"/>
          <w:sz w:val="20"/>
          <w:szCs w:val="20"/>
        </w:rPr>
        <w:t xml:space="preserve">C3  Unit economics &amp; inference margin</w:t>
      </w:r>
      <w:r>
        <w:rPr>
          <w:rFonts w:ascii="Gill Sans MT" w:cs="Gill Sans MT" w:eastAsia="Gill Sans MT" w:hAnsi="Gill Sans MT"/>
          <w:color w:val="646A7A"/>
          <w:sz w:val="15"/>
          <w:szCs w:val="15"/>
        </w:rPr>
        <w:tab/>
        <w:t xml:space="preserve">8.7 / 10   ·   weight 5%   ·   coverage 78%</w:t>
      </w:r>
    </w:p>
    <w:p>
      <w:pPr>
        <w:spacing w:after="60" w:before="0" w:line="276"/>
      </w:pPr>
      <w:r>
        <w:rPr>
          <w:rFonts w:ascii="Gill Sans MT" w:cs="Gill Sans MT" w:eastAsia="Gill Sans MT" w:hAnsi="Gill Sans MT"/>
          <w:color w:val="2E3232"/>
          <w:sz w:val="20"/>
          <w:szCs w:val="20"/>
        </w:rPr>
        <w:t xml:space="preserve">Serverless edge hosting and a static marketing site [F23, F25, F34]; no AI, so no inference cost; onboarding is a customer-run SQL push [F11]. Gross margin on a flat annual contract is close to the price.</w:t>
      </w:r>
    </w:p>
    <w:p>
      <w:pPr>
        <w:spacing w:after="40" w:before="0" w:line="276"/>
      </w:pPr>
      <w:r>
        <w:rPr>
          <w:rFonts w:ascii="Gill Sans MT" w:cs="Gill Sans MT" w:eastAsia="Gill Sans MT" w:hAnsi="Gill Sans MT"/>
          <w:b/>
          <w:bCs/>
          <w:color w:val="C0392B"/>
          <w:sz w:val="18"/>
          <w:szCs w:val="18"/>
        </w:rPr>
        <w:t xml:space="preserve">Counter: </w:t>
      </w:r>
      <w:r>
        <w:rPr>
          <w:rFonts w:ascii="Gill Sans MT" w:cs="Gill Sans MT" w:eastAsia="Gill Sans MT" w:hAnsi="Gill Sans MT"/>
          <w:i/>
          <w:iCs/>
          <w:color w:val="C0392B"/>
          <w:sz w:val="18"/>
          <w:szCs w:val="18"/>
        </w:rPr>
        <w:t xml:space="preserve">A near-zero cost base is a property of stage as much as of design; a real SIS integration would add support cost.</w:t>
      </w:r>
    </w:p>
    <w:p>
      <w:pPr>
        <w:spacing w:after="80" w:before="0" w:line="276"/>
      </w:pPr>
      <w:r>
        <w:rPr>
          <w:rFonts w:ascii="Gill Sans MT" w:cs="Gill Sans MT" w:eastAsia="Gill Sans MT" w:hAnsi="Gill Sans MT"/>
          <w:b/>
          <w:bCs/>
          <w:color w:val="646A7A"/>
          <w:sz w:val="16"/>
          <w:szCs w:val="16"/>
        </w:rPr>
        <w:t xml:space="preserve">Gaps: </w:t>
      </w:r>
      <w:r>
        <w:rPr>
          <w:rFonts w:ascii="Gill Sans MT" w:cs="Gill Sans MT" w:eastAsia="Gill Sans MT" w:hAnsi="Gill Sans MT"/>
          <w:i w:val="false"/>
          <w:iCs w:val="false"/>
          <w:color w:val="646A7A"/>
          <w:sz w:val="16"/>
          <w:szCs w:val="16"/>
        </w:rPr>
        <w:t xml:space="preserve">Hosting bill; support headcount; contract value at the named college.</w:t>
      </w:r>
    </w:p>
    <w:p>
      <w:pPr>
        <w:keepNext/>
        <w:pBdr>
          <w:bottom w:val="single" w:color="132246" w:sz="6" w:space="3"/>
        </w:pBdr>
        <w:spacing w:after="140" w:before="320" w:line="240"/>
      </w:pPr>
      <w:r>
        <w:rPr>
          <w:rFonts w:ascii="Gill Sans MT" w:cs="Gill Sans MT" w:eastAsia="Gill Sans MT" w:hAnsi="Gill Sans MT"/>
          <w:b/>
          <w:bCs/>
          <w:color w:val="132246"/>
          <w:sz w:val="24"/>
          <w:szCs w:val="24"/>
        </w:rPr>
        <w:t xml:space="preserve">Diligence questions for management</w:t>
      </w:r>
    </w:p>
    <w:p>
      <w:pPr>
        <w:pStyle w:val="ListParagraph"/>
        <w:numPr>
          <w:ilvl w:val="0"/>
          <w:numId w:val="2"/>
        </w:numPr>
        <w:spacing w:after="60" w:before="0" w:line="276"/>
      </w:pPr>
      <w:r>
        <w:rPr>
          <w:rFonts w:ascii="Gill Sans MT" w:cs="Gill Sans MT" w:eastAsia="Gill Sans MT" w:hAnsi="Gill Sans MT"/>
          <w:color w:val="2E3232"/>
          <w:sz w:val="20"/>
          <w:szCs w:val="20"/>
        </w:rPr>
        <w:t xml:space="preserve">Which institutions are live on their own domain today, and which of the four logos are contracted customers?</w:t>
      </w:r>
    </w:p>
    <w:p>
      <w:pPr>
        <w:pStyle w:val="ListParagraph"/>
        <w:numPr>
          <w:ilvl w:val="0"/>
          <w:numId w:val="2"/>
        </w:numPr>
        <w:spacing w:after="60" w:before="0" w:line="276"/>
      </w:pPr>
      <w:r>
        <w:rPr>
          <w:rFonts w:ascii="Gill Sans MT" w:cs="Gill Sans MT" w:eastAsia="Gill Sans MT" w:hAnsi="Gill Sans MT"/>
          <w:color w:val="2E3232"/>
          <w:sz w:val="20"/>
          <w:szCs w:val="20"/>
        </w:rPr>
        <w:t xml:space="preserve">Is a registration write-back into any SIS on the roadmap, and has any customer asked for it?</w:t>
      </w:r>
    </w:p>
    <w:p>
      <w:pPr>
        <w:pStyle w:val="ListParagraph"/>
        <w:numPr>
          <w:ilvl w:val="0"/>
          <w:numId w:val="2"/>
        </w:numPr>
        <w:spacing w:after="60" w:before="0" w:line="276"/>
      </w:pPr>
      <w:r>
        <w:rPr>
          <w:rFonts w:ascii="Gill Sans MT" w:cs="Gill Sans MT" w:eastAsia="Gill Sans MT" w:hAnsi="Gill Sans MT"/>
          <w:color w:val="2E3232"/>
          <w:sz w:val="20"/>
          <w:szCs w:val="20"/>
        </w:rPr>
        <w:t xml:space="preserve">What compliance evidence (VPAT, HECVAT, SOC 2) exists or is in progress, and who owns it?</w:t>
      </w:r>
    </w:p>
    <w:p>
      <w:r>
        <w:br w:type="page"/>
      </w:r>
    </w:p>
    <w:p>
      <w:pPr>
        <w:keepNext/>
        <w:pBdr>
          <w:bottom w:val="single" w:color="132246" w:sz="6" w:space="3"/>
        </w:pBdr>
        <w:spacing w:after="140" w:before="320" w:line="240"/>
      </w:pPr>
      <w:r>
        <w:rPr>
          <w:rFonts w:ascii="Gill Sans MT" w:cs="Gill Sans MT" w:eastAsia="Gill Sans MT" w:hAnsi="Gill Sans MT"/>
          <w:b/>
          <w:bCs/>
          <w:color w:val="132246"/>
          <w:sz w:val="24"/>
          <w:szCs w:val="24"/>
        </w:rPr>
        <w:t xml:space="preserve">Appendix A  ·  Driver scores</w:t>
      </w:r>
    </w:p>
    <w:p>
      <w:pPr>
        <w:spacing w:after="80" w:before="0" w:line="240"/>
      </w:pPr>
      <w:r>
        <w:rPr>
          <w:rFonts w:ascii="Gill Sans MT" w:cs="Gill Sans MT" w:eastAsia="Gill Sans MT" w:hAnsi="Gill Sans MT"/>
          <w:color w:val="646A7A"/>
          <w:sz w:val="15"/>
          <w:szCs w:val="15"/>
        </w:rPr>
        <w:t xml:space="preserve">Score is on the re-anchored scale of 22 September 2026. Ev. = evidence reliability (H high, M medium, L low). Eff. wt = the driver's share of the headline after renormalisation across evidenced drivers.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
        <w:gridCol w:w="2700"/>
        <w:gridCol w:w="700"/>
        <w:gridCol w:w="600"/>
        <w:gridCol w:w="500"/>
        <w:gridCol w:w="700"/>
        <w:gridCol w:w="3838"/>
      </w:tblGrid>
      <w:tr>
        <w:trPr>
          <w:cantSplit/>
          <w:tblHeader/>
        </w:trPr>
        <w:tc>
          <w:tcPr>
            <w:tcW w:type="dxa" w:w="600"/>
            <w:tcBorders>
              <w:top w:val="none" w:color="FFFFFF" w:sz="0"/>
              <w:left w:val="none" w:color="FFFFFF" w:sz="0"/>
              <w:bottom w:val="none" w:color="FFFFFF" w:sz="0"/>
              <w:right w:val="none" w:color="FFFFFF" w:sz="0"/>
            </w:tcBorders>
            <w:shd w:fill="132246" w:color="auto" w:val="clear"/>
            <w:tcMar>
              <w:top w:type="dxa" w:w="45"/>
              <w:left w:type="dxa" w:w="80"/>
              <w:bottom w:type="dxa" w:w="45"/>
              <w:right w:type="dxa" w:w="80"/>
            </w:tcMar>
          </w:tcPr>
          <w:p>
            <w:pPr>
              <w:spacing w:after="0" w:before="0" w:line="240"/>
            </w:pPr>
            <w:r>
              <w:rPr>
                <w:rFonts w:ascii="Gill Sans MT" w:cs="Gill Sans MT" w:eastAsia="Gill Sans MT" w:hAnsi="Gill Sans MT"/>
                <w:b/>
                <w:bCs/>
                <w:color w:val="FFFFFF"/>
                <w:sz w:val="15"/>
                <w:szCs w:val="15"/>
              </w:rPr>
              <w:t xml:space="preserve">ID</w:t>
            </w:r>
          </w:p>
        </w:tc>
        <w:tc>
          <w:tcPr>
            <w:tcW w:type="dxa" w:w="2700"/>
            <w:tcBorders>
              <w:top w:val="none" w:color="FFFFFF" w:sz="0"/>
              <w:left w:val="none" w:color="FFFFFF" w:sz="0"/>
              <w:bottom w:val="none" w:color="FFFFFF" w:sz="0"/>
              <w:right w:val="none" w:color="FFFFFF" w:sz="0"/>
            </w:tcBorders>
            <w:shd w:fill="132246" w:color="auto" w:val="clear"/>
            <w:tcMar>
              <w:top w:type="dxa" w:w="45"/>
              <w:left w:type="dxa" w:w="80"/>
              <w:bottom w:type="dxa" w:w="45"/>
              <w:right w:type="dxa" w:w="80"/>
            </w:tcMar>
          </w:tcPr>
          <w:p>
            <w:pPr>
              <w:spacing w:after="0" w:before="0" w:line="240"/>
            </w:pPr>
            <w:r>
              <w:rPr>
                <w:rFonts w:ascii="Gill Sans MT" w:cs="Gill Sans MT" w:eastAsia="Gill Sans MT" w:hAnsi="Gill Sans MT"/>
                <w:b/>
                <w:bCs/>
                <w:color w:val="FFFFFF"/>
                <w:sz w:val="15"/>
                <w:szCs w:val="15"/>
              </w:rPr>
              <w:t xml:space="preserve">Driver</w:t>
            </w:r>
          </w:p>
        </w:tc>
        <w:tc>
          <w:tcPr>
            <w:tcW w:type="dxa" w:w="700"/>
            <w:tcBorders>
              <w:top w:val="none" w:color="FFFFFF" w:sz="0"/>
              <w:left w:val="none" w:color="FFFFFF" w:sz="0"/>
              <w:bottom w:val="none" w:color="FFFFFF" w:sz="0"/>
              <w:right w:val="none" w:color="FFFFFF" w:sz="0"/>
            </w:tcBorders>
            <w:shd w:fill="132246" w:color="auto" w:val="clear"/>
            <w:tcMar>
              <w:top w:type="dxa" w:w="45"/>
              <w:left w:type="dxa" w:w="80"/>
              <w:bottom w:type="dxa" w:w="45"/>
              <w:right w:type="dxa" w:w="80"/>
            </w:tcMar>
          </w:tcPr>
          <w:p>
            <w:pPr>
              <w:spacing w:after="0" w:before="0" w:line="240"/>
              <w:jc w:val="right"/>
            </w:pPr>
            <w:r>
              <w:rPr>
                <w:rFonts w:ascii="Gill Sans MT" w:cs="Gill Sans MT" w:eastAsia="Gill Sans MT" w:hAnsi="Gill Sans MT"/>
                <w:b/>
                <w:bCs/>
                <w:color w:val="FFFFFF"/>
                <w:sz w:val="15"/>
                <w:szCs w:val="15"/>
              </w:rPr>
              <w:t xml:space="preserve">Score</w:t>
            </w:r>
          </w:p>
        </w:tc>
        <w:tc>
          <w:tcPr>
            <w:tcW w:type="dxa" w:w="600"/>
            <w:tcBorders>
              <w:top w:val="none" w:color="FFFFFF" w:sz="0"/>
              <w:left w:val="none" w:color="FFFFFF" w:sz="0"/>
              <w:bottom w:val="none" w:color="FFFFFF" w:sz="0"/>
              <w:right w:val="none" w:color="FFFFFF" w:sz="0"/>
            </w:tcBorders>
            <w:shd w:fill="132246" w:color="auto" w:val="clear"/>
            <w:tcMar>
              <w:top w:type="dxa" w:w="45"/>
              <w:left w:type="dxa" w:w="80"/>
              <w:bottom w:type="dxa" w:w="45"/>
              <w:right w:type="dxa" w:w="80"/>
            </w:tcMar>
          </w:tcPr>
          <w:p>
            <w:pPr>
              <w:spacing w:after="0" w:before="0" w:line="240"/>
              <w:jc w:val="right"/>
            </w:pPr>
            <w:r>
              <w:rPr>
                <w:rFonts w:ascii="Gill Sans MT" w:cs="Gill Sans MT" w:eastAsia="Gill Sans MT" w:hAnsi="Gill Sans MT"/>
                <w:b/>
                <w:bCs/>
                <w:color w:val="FFFFFF"/>
                <w:sz w:val="15"/>
                <w:szCs w:val="15"/>
              </w:rPr>
              <w:t xml:space="preserve">Prior</w:t>
            </w:r>
          </w:p>
        </w:tc>
        <w:tc>
          <w:tcPr>
            <w:tcW w:type="dxa" w:w="500"/>
            <w:tcBorders>
              <w:top w:val="none" w:color="FFFFFF" w:sz="0"/>
              <w:left w:val="none" w:color="FFFFFF" w:sz="0"/>
              <w:bottom w:val="none" w:color="FFFFFF" w:sz="0"/>
              <w:right w:val="none" w:color="FFFFFF" w:sz="0"/>
            </w:tcBorders>
            <w:shd w:fill="132246" w:color="auto" w:val="clear"/>
            <w:tcMar>
              <w:top w:type="dxa" w:w="45"/>
              <w:left w:type="dxa" w:w="80"/>
              <w:bottom w:type="dxa" w:w="45"/>
              <w:right w:type="dxa" w:w="80"/>
            </w:tcMar>
          </w:tcPr>
          <w:p>
            <w:pPr>
              <w:spacing w:after="0" w:before="0" w:line="240"/>
              <w:jc w:val="center"/>
            </w:pPr>
            <w:r>
              <w:rPr>
                <w:rFonts w:ascii="Gill Sans MT" w:cs="Gill Sans MT" w:eastAsia="Gill Sans MT" w:hAnsi="Gill Sans MT"/>
                <w:b/>
                <w:bCs/>
                <w:color w:val="FFFFFF"/>
                <w:sz w:val="15"/>
                <w:szCs w:val="15"/>
              </w:rPr>
              <w:t xml:space="preserve">Ev.</w:t>
            </w:r>
          </w:p>
        </w:tc>
        <w:tc>
          <w:tcPr>
            <w:tcW w:type="dxa" w:w="700"/>
            <w:tcBorders>
              <w:top w:val="none" w:color="FFFFFF" w:sz="0"/>
              <w:left w:val="none" w:color="FFFFFF" w:sz="0"/>
              <w:bottom w:val="none" w:color="FFFFFF" w:sz="0"/>
              <w:right w:val="none" w:color="FFFFFF" w:sz="0"/>
            </w:tcBorders>
            <w:shd w:fill="132246" w:color="auto" w:val="clear"/>
            <w:tcMar>
              <w:top w:type="dxa" w:w="45"/>
              <w:left w:type="dxa" w:w="80"/>
              <w:bottom w:type="dxa" w:w="45"/>
              <w:right w:type="dxa" w:w="80"/>
            </w:tcMar>
          </w:tcPr>
          <w:p>
            <w:pPr>
              <w:spacing w:after="0" w:before="0" w:line="240"/>
              <w:jc w:val="right"/>
            </w:pPr>
            <w:r>
              <w:rPr>
                <w:rFonts w:ascii="Gill Sans MT" w:cs="Gill Sans MT" w:eastAsia="Gill Sans MT" w:hAnsi="Gill Sans MT"/>
                <w:b/>
                <w:bCs/>
                <w:color w:val="FFFFFF"/>
                <w:sz w:val="15"/>
                <w:szCs w:val="15"/>
              </w:rPr>
              <w:t xml:space="preserve">Eff. wt</w:t>
            </w:r>
          </w:p>
        </w:tc>
        <w:tc>
          <w:tcPr>
            <w:tcW w:type="dxa" w:w="3838"/>
            <w:tcBorders>
              <w:top w:val="none" w:color="FFFFFF" w:sz="0"/>
              <w:left w:val="none" w:color="FFFFFF" w:sz="0"/>
              <w:bottom w:val="none" w:color="FFFFFF" w:sz="0"/>
              <w:right w:val="none" w:color="FFFFFF" w:sz="0"/>
            </w:tcBorders>
            <w:shd w:fill="132246" w:color="auto" w:val="clear"/>
            <w:tcMar>
              <w:top w:type="dxa" w:w="45"/>
              <w:left w:type="dxa" w:w="80"/>
              <w:bottom w:type="dxa" w:w="45"/>
              <w:right w:type="dxa" w:w="80"/>
            </w:tcMar>
          </w:tcPr>
          <w:p>
            <w:pPr>
              <w:spacing w:after="0" w:before="0" w:line="240"/>
            </w:pPr>
            <w:r>
              <w:rPr>
                <w:rFonts w:ascii="Gill Sans MT" w:cs="Gill Sans MT" w:eastAsia="Gill Sans MT" w:hAnsi="Gill Sans MT"/>
                <w:b/>
                <w:bCs/>
                <w:color w:val="FFFFFF"/>
                <w:sz w:val="15"/>
                <w:szCs w:val="15"/>
              </w:rPr>
              <w:t xml:space="preserve">Rationale and evidence</w:t>
            </w:r>
          </w:p>
        </w:tc>
      </w:tr>
      <w:tr>
        <w:trPr>
          <w:cantSplit/>
        </w:trPr>
        <w:tc>
          <w:tcPr>
            <w:tcW w:type="dxa" w:w="9638"/>
            <w:gridSpan w:val="7"/>
            <w:tcBorders>
              <w:top w:val="none" w:color="FFFFFF" w:sz="0"/>
              <w:left w:val="none" w:color="FFFFFF" w:sz="0"/>
              <w:bottom w:val="none" w:color="FFFFFF" w:sz="0"/>
              <w:right w:val="none" w:color="FFFFFF" w:sz="0"/>
            </w:tcBorders>
            <w:shd w:fill="0B4E6F" w:color="auto" w:val="clear"/>
            <w:tcMar>
              <w:top w:type="dxa" w:w="45"/>
              <w:left w:type="dxa" w:w="80"/>
              <w:bottom w:type="dxa" w:w="45"/>
              <w:right w:type="dxa" w:w="80"/>
            </w:tcMar>
          </w:tcPr>
          <w:p>
            <w:pPr>
              <w:spacing w:after="0" w:before="0" w:line="240"/>
            </w:pPr>
            <w:r>
              <w:rPr>
                <w:rFonts w:ascii="Gill Sans MT" w:cs="Gill Sans MT" w:eastAsia="Gill Sans MT" w:hAnsi="Gill Sans MT"/>
                <w:b/>
                <w:bCs/>
                <w:color w:val="FFFFFF"/>
                <w:sz w:val="15"/>
                <w:szCs w:val="15"/>
              </w:rPr>
              <w:t xml:space="preserve">A1 Workflow &amp; user replacement by AI agents  —  area score 7.0, weight 11%, coverage 100%</w:t>
            </w:r>
          </w:p>
        </w:tc>
      </w:tr>
      <w:tr>
        <w:trPr>
          <w:cantSplit/>
        </w:trPr>
        <w:tc>
          <w:tcPr>
            <w:tcW w:type="dxa" w:w="6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b/>
                <w:bCs/>
                <w:color w:val="2E3232"/>
                <w:sz w:val="15"/>
                <w:szCs w:val="15"/>
              </w:rPr>
              <w:t xml:space="preserve">A1.1</w:t>
            </w:r>
          </w:p>
        </w:tc>
        <w:tc>
          <w:tcPr>
            <w:tcW w:type="dxa" w:w="27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color w:val="2E3232"/>
                <w:sz w:val="15"/>
                <w:szCs w:val="15"/>
              </w:rPr>
              <w:t xml:space="preserve">User-role durability at buyers</w:t>
            </w:r>
          </w:p>
        </w:tc>
        <w:tc>
          <w:tcPr>
            <w:tcW w:type="dxa" w:w="7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jc w:val="right"/>
            </w:pPr>
            <w:r>
              <w:rPr>
                <w:rFonts w:ascii="Gill Sans MT" w:cs="Gill Sans MT" w:eastAsia="Gill Sans MT" w:hAnsi="Gill Sans MT"/>
                <w:b/>
                <w:bCs/>
                <w:color w:val="0B4E6F"/>
                <w:sz w:val="15"/>
                <w:szCs w:val="15"/>
              </w:rPr>
              <w:t xml:space="preserve">7.0</w:t>
            </w:r>
          </w:p>
        </w:tc>
        <w:tc>
          <w:tcPr>
            <w:tcW w:type="dxa" w:w="6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jc w:val="right"/>
            </w:pPr>
            <w:r>
              <w:rPr>
                <w:rFonts w:ascii="Gill Sans MT" w:cs="Gill Sans MT" w:eastAsia="Gill Sans MT" w:hAnsi="Gill Sans MT"/>
                <w:color w:val="2E3232"/>
                <w:sz w:val="15"/>
                <w:szCs w:val="15"/>
              </w:rPr>
              <w:t xml:space="preserve">5.0</w:t>
            </w:r>
          </w:p>
        </w:tc>
        <w:tc>
          <w:tcPr>
            <w:tcW w:type="dxa" w:w="5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jc w:val="center"/>
            </w:pPr>
            <w:r>
              <w:rPr>
                <w:rFonts w:ascii="Gill Sans MT" w:cs="Gill Sans MT" w:eastAsia="Gill Sans MT" w:hAnsi="Gill Sans MT"/>
                <w:color w:val="2E3232"/>
                <w:sz w:val="15"/>
                <w:szCs w:val="15"/>
              </w:rPr>
              <w:t xml:space="preserve">M</w:t>
            </w:r>
          </w:p>
        </w:tc>
        <w:tc>
          <w:tcPr>
            <w:tcW w:type="dxa" w:w="7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jc w:val="right"/>
            </w:pPr>
            <w:r>
              <w:rPr>
                <w:rFonts w:ascii="Gill Sans MT" w:cs="Gill Sans MT" w:eastAsia="Gill Sans MT" w:hAnsi="Gill Sans MT"/>
                <w:color w:val="2E3232"/>
                <w:sz w:val="15"/>
                <w:szCs w:val="15"/>
              </w:rPr>
              <w:t xml:space="preserve">2.8%</w:t>
            </w:r>
          </w:p>
        </w:tc>
        <w:tc>
          <w:tcPr>
            <w:tcW w:type="dxa" w:w="3838"/>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color w:val="2E3232"/>
                <w:sz w:val="15"/>
                <w:szCs w:val="15"/>
              </w:rPr>
              <w:t xml:space="preserve">Registrars, advisors and students remain; no headcount evidence. [F27, F42, F43]</w:t>
            </w:r>
          </w:p>
        </w:tc>
      </w:tr>
      <w:tr>
        <w:trPr>
          <w:cantSplit/>
        </w:trPr>
        <w:tc>
          <w:tcPr>
            <w:tcW w:type="dxa" w:w="6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pPr>
            <w:r>
              <w:rPr>
                <w:rFonts w:ascii="Gill Sans MT" w:cs="Gill Sans MT" w:eastAsia="Gill Sans MT" w:hAnsi="Gill Sans MT"/>
                <w:b/>
                <w:bCs/>
                <w:color w:val="2E3232"/>
                <w:sz w:val="15"/>
                <w:szCs w:val="15"/>
              </w:rPr>
              <w:t xml:space="preserve">A1.2</w:t>
            </w:r>
          </w:p>
        </w:tc>
        <w:tc>
          <w:tcPr>
            <w:tcW w:type="dxa" w:w="27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pPr>
            <w:r>
              <w:rPr>
                <w:rFonts w:ascii="Gill Sans MT" w:cs="Gill Sans MT" w:eastAsia="Gill Sans MT" w:hAnsi="Gill Sans MT"/>
                <w:color w:val="2E3232"/>
                <w:sz w:val="15"/>
                <w:szCs w:val="15"/>
              </w:rPr>
              <w:t xml:space="preserve">Agent substitution of the core workflow</w:t>
            </w:r>
          </w:p>
        </w:tc>
        <w:tc>
          <w:tcPr>
            <w:tcW w:type="dxa" w:w="7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jc w:val="right"/>
            </w:pPr>
            <w:r>
              <w:rPr>
                <w:rFonts w:ascii="Gill Sans MT" w:cs="Gill Sans MT" w:eastAsia="Gill Sans MT" w:hAnsi="Gill Sans MT"/>
                <w:b/>
                <w:bCs/>
                <w:color w:val="2E3232"/>
                <w:sz w:val="15"/>
                <w:szCs w:val="15"/>
              </w:rPr>
              <w:t xml:space="preserve">5.5</w:t>
            </w:r>
          </w:p>
        </w:tc>
        <w:tc>
          <w:tcPr>
            <w:tcW w:type="dxa" w:w="6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jc w:val="right"/>
            </w:pPr>
            <w:r>
              <w:rPr>
                <w:rFonts w:ascii="Gill Sans MT" w:cs="Gill Sans MT" w:eastAsia="Gill Sans MT" w:hAnsi="Gill Sans MT"/>
                <w:color w:val="2E3232"/>
                <w:sz w:val="15"/>
                <w:szCs w:val="15"/>
              </w:rPr>
              <w:t xml:space="preserve">3.0</w:t>
            </w:r>
          </w:p>
        </w:tc>
        <w:tc>
          <w:tcPr>
            <w:tcW w:type="dxa" w:w="5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jc w:val="center"/>
            </w:pPr>
            <w:r>
              <w:rPr>
                <w:rFonts w:ascii="Gill Sans MT" w:cs="Gill Sans MT" w:eastAsia="Gill Sans MT" w:hAnsi="Gill Sans MT"/>
                <w:color w:val="2E3232"/>
                <w:sz w:val="15"/>
                <w:szCs w:val="15"/>
              </w:rPr>
              <w:t xml:space="preserve">M</w:t>
            </w:r>
          </w:p>
        </w:tc>
        <w:tc>
          <w:tcPr>
            <w:tcW w:type="dxa" w:w="7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jc w:val="right"/>
            </w:pPr>
            <w:r>
              <w:rPr>
                <w:rFonts w:ascii="Gill Sans MT" w:cs="Gill Sans MT" w:eastAsia="Gill Sans MT" w:hAnsi="Gill Sans MT"/>
                <w:color w:val="2E3232"/>
                <w:sz w:val="15"/>
                <w:szCs w:val="15"/>
              </w:rPr>
              <w:t xml:space="preserve">2.8%</w:t>
            </w:r>
          </w:p>
        </w:tc>
        <w:tc>
          <w:tcPr>
            <w:tcW w:type="dxa" w:w="3838"/>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pPr>
            <w:r>
              <w:rPr>
                <w:rFonts w:ascii="Gill Sans MT" w:cs="Gill Sans MT" w:eastAsia="Gill Sans MT" w:hAnsi="Gill Sans MT"/>
                <w:color w:val="2E3232"/>
                <w:sz w:val="15"/>
                <w:szCs w:val="15"/>
              </w:rPr>
              <w:t xml:space="preserve">An agent with SIS read access produces the same enrolment reports. [F4, F33]</w:t>
            </w:r>
          </w:p>
        </w:tc>
      </w:tr>
      <w:tr>
        <w:trPr>
          <w:cantSplit/>
        </w:trPr>
        <w:tc>
          <w:tcPr>
            <w:tcW w:type="dxa" w:w="6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b/>
                <w:bCs/>
                <w:color w:val="2E3232"/>
                <w:sz w:val="15"/>
                <w:szCs w:val="15"/>
              </w:rPr>
              <w:t xml:space="preserve">A1.3</w:t>
            </w:r>
          </w:p>
        </w:tc>
        <w:tc>
          <w:tcPr>
            <w:tcW w:type="dxa" w:w="27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color w:val="2E3232"/>
                <w:sz w:val="15"/>
                <w:szCs w:val="15"/>
              </w:rPr>
              <w:t xml:space="preserve">Seat exposure of revenue</w:t>
            </w:r>
          </w:p>
        </w:tc>
        <w:tc>
          <w:tcPr>
            <w:tcW w:type="dxa" w:w="7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jc w:val="right"/>
            </w:pPr>
            <w:r>
              <w:rPr>
                <w:rFonts w:ascii="Gill Sans MT" w:cs="Gill Sans MT" w:eastAsia="Gill Sans MT" w:hAnsi="Gill Sans MT"/>
                <w:b/>
                <w:bCs/>
                <w:color w:val="0B4E6F"/>
                <w:sz w:val="15"/>
                <w:szCs w:val="15"/>
              </w:rPr>
              <w:t xml:space="preserve">8.4</w:t>
            </w:r>
          </w:p>
        </w:tc>
        <w:tc>
          <w:tcPr>
            <w:tcW w:type="dxa" w:w="6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jc w:val="right"/>
            </w:pPr>
            <w:r>
              <w:rPr>
                <w:rFonts w:ascii="Gill Sans MT" w:cs="Gill Sans MT" w:eastAsia="Gill Sans MT" w:hAnsi="Gill Sans MT"/>
                <w:color w:val="2E3232"/>
                <w:sz w:val="15"/>
                <w:szCs w:val="15"/>
              </w:rPr>
              <w:t xml:space="preserve">7.0</w:t>
            </w:r>
          </w:p>
        </w:tc>
        <w:tc>
          <w:tcPr>
            <w:tcW w:type="dxa" w:w="5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jc w:val="center"/>
            </w:pPr>
            <w:r>
              <w:rPr>
                <w:rFonts w:ascii="Gill Sans MT" w:cs="Gill Sans MT" w:eastAsia="Gill Sans MT" w:hAnsi="Gill Sans MT"/>
                <w:color w:val="2E3232"/>
                <w:sz w:val="15"/>
                <w:szCs w:val="15"/>
              </w:rPr>
              <w:t xml:space="preserve">H</w:t>
            </w:r>
          </w:p>
        </w:tc>
        <w:tc>
          <w:tcPr>
            <w:tcW w:type="dxa" w:w="7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jc w:val="right"/>
            </w:pPr>
            <w:r>
              <w:rPr>
                <w:rFonts w:ascii="Gill Sans MT" w:cs="Gill Sans MT" w:eastAsia="Gill Sans MT" w:hAnsi="Gill Sans MT"/>
                <w:color w:val="2E3232"/>
                <w:sz w:val="15"/>
                <w:szCs w:val="15"/>
              </w:rPr>
              <w:t xml:space="preserve">2.8%</w:t>
            </w:r>
          </w:p>
        </w:tc>
        <w:tc>
          <w:tcPr>
            <w:tcW w:type="dxa" w:w="3838"/>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color w:val="2E3232"/>
                <w:sz w:val="15"/>
                <w:szCs w:val="15"/>
              </w:rPr>
              <w:t xml:space="preserve">Flat annual contracts; admin-user tiers are the only seat linkage. [F6, F8]</w:t>
            </w:r>
          </w:p>
        </w:tc>
      </w:tr>
      <w:tr>
        <w:trPr>
          <w:cantSplit/>
        </w:trPr>
        <w:tc>
          <w:tcPr>
            <w:tcW w:type="dxa" w:w="9638"/>
            <w:gridSpan w:val="7"/>
            <w:tcBorders>
              <w:top w:val="none" w:color="FFFFFF" w:sz="0"/>
              <w:left w:val="none" w:color="FFFFFF" w:sz="0"/>
              <w:bottom w:val="none" w:color="FFFFFF" w:sz="0"/>
              <w:right w:val="none" w:color="FFFFFF" w:sz="0"/>
            </w:tcBorders>
            <w:shd w:fill="0B4E6F" w:color="auto" w:val="clear"/>
            <w:tcMar>
              <w:top w:type="dxa" w:w="45"/>
              <w:left w:type="dxa" w:w="80"/>
              <w:bottom w:type="dxa" w:w="45"/>
              <w:right w:type="dxa" w:w="80"/>
            </w:tcMar>
          </w:tcPr>
          <w:p>
            <w:pPr>
              <w:spacing w:after="0" w:before="0" w:line="240"/>
            </w:pPr>
            <w:r>
              <w:rPr>
                <w:rFonts w:ascii="Gill Sans MT" w:cs="Gill Sans MT" w:eastAsia="Gill Sans MT" w:hAnsi="Gill Sans MT"/>
                <w:b/>
                <w:bCs/>
                <w:color w:val="FFFFFF"/>
                <w:sz w:val="15"/>
                <w:szCs w:val="15"/>
              </w:rPr>
              <w:t xml:space="preserve">B1 Data moat  —  area score 3.8, weight 12%, coverage 75%</w:t>
            </w:r>
          </w:p>
        </w:tc>
      </w:tr>
      <w:tr>
        <w:trPr>
          <w:cantSplit/>
        </w:trPr>
        <w:tc>
          <w:tcPr>
            <w:tcW w:type="dxa" w:w="6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b/>
                <w:bCs/>
                <w:color w:val="2E3232"/>
                <w:sz w:val="15"/>
                <w:szCs w:val="15"/>
              </w:rPr>
              <w:t xml:space="preserve">B1.1</w:t>
            </w:r>
          </w:p>
        </w:tc>
        <w:tc>
          <w:tcPr>
            <w:tcW w:type="dxa" w:w="27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color w:val="2E3232"/>
                <w:sz w:val="15"/>
                <w:szCs w:val="15"/>
              </w:rPr>
              <w:t xml:space="preserve">Proprietary or exclusive data</w:t>
            </w:r>
          </w:p>
        </w:tc>
        <w:tc>
          <w:tcPr>
            <w:tcW w:type="dxa" w:w="7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jc w:val="right"/>
            </w:pPr>
            <w:r>
              <w:rPr>
                <w:rFonts w:ascii="Gill Sans MT" w:cs="Gill Sans MT" w:eastAsia="Gill Sans MT" w:hAnsi="Gill Sans MT"/>
                <w:b/>
                <w:bCs/>
                <w:color w:val="C0392B"/>
                <w:sz w:val="15"/>
                <w:szCs w:val="15"/>
              </w:rPr>
              <w:t xml:space="preserve">4.7</w:t>
            </w:r>
          </w:p>
        </w:tc>
        <w:tc>
          <w:tcPr>
            <w:tcW w:type="dxa" w:w="6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jc w:val="right"/>
            </w:pPr>
            <w:r>
              <w:rPr>
                <w:rFonts w:ascii="Gill Sans MT" w:cs="Gill Sans MT" w:eastAsia="Gill Sans MT" w:hAnsi="Gill Sans MT"/>
                <w:color w:val="2E3232"/>
                <w:sz w:val="15"/>
                <w:szCs w:val="15"/>
              </w:rPr>
              <w:t xml:space="preserve">2.0</w:t>
            </w:r>
          </w:p>
        </w:tc>
        <w:tc>
          <w:tcPr>
            <w:tcW w:type="dxa" w:w="5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jc w:val="center"/>
            </w:pPr>
            <w:r>
              <w:rPr>
                <w:rFonts w:ascii="Gill Sans MT" w:cs="Gill Sans MT" w:eastAsia="Gill Sans MT" w:hAnsi="Gill Sans MT"/>
                <w:color w:val="2E3232"/>
                <w:sz w:val="15"/>
                <w:szCs w:val="15"/>
              </w:rPr>
              <w:t xml:space="preserve">M</w:t>
            </w:r>
          </w:p>
        </w:tc>
        <w:tc>
          <w:tcPr>
            <w:tcW w:type="dxa" w:w="7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jc w:val="right"/>
            </w:pPr>
            <w:r>
              <w:rPr>
                <w:rFonts w:ascii="Gill Sans MT" w:cs="Gill Sans MT" w:eastAsia="Gill Sans MT" w:hAnsi="Gill Sans MT"/>
                <w:color w:val="2E3232"/>
                <w:sz w:val="15"/>
                <w:szCs w:val="15"/>
              </w:rPr>
              <w:t xml:space="preserve">3.0%</w:t>
            </w:r>
          </w:p>
        </w:tc>
        <w:tc>
          <w:tcPr>
            <w:tcW w:type="dxa" w:w="3838"/>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color w:val="2E3232"/>
                <w:sz w:val="15"/>
                <w:szCs w:val="15"/>
              </w:rPr>
              <w:t xml:space="preserve">First-party click data per institution; at most one registration cycle old. [F30, F20]</w:t>
            </w:r>
          </w:p>
        </w:tc>
      </w:tr>
      <w:tr>
        <w:trPr>
          <w:cantSplit/>
        </w:trPr>
        <w:tc>
          <w:tcPr>
            <w:tcW w:type="dxa" w:w="6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pPr>
            <w:r>
              <w:rPr>
                <w:rFonts w:ascii="Gill Sans MT" w:cs="Gill Sans MT" w:eastAsia="Gill Sans MT" w:hAnsi="Gill Sans MT"/>
                <w:b/>
                <w:bCs/>
                <w:color w:val="2E3232"/>
                <w:sz w:val="15"/>
                <w:szCs w:val="15"/>
              </w:rPr>
              <w:t xml:space="preserve">B1.2</w:t>
            </w:r>
          </w:p>
        </w:tc>
        <w:tc>
          <w:tcPr>
            <w:tcW w:type="dxa" w:w="27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pPr>
            <w:r>
              <w:rPr>
                <w:rFonts w:ascii="Gill Sans MT" w:cs="Gill Sans MT" w:eastAsia="Gill Sans MT" w:hAnsi="Gill Sans MT"/>
                <w:color w:val="2E3232"/>
                <w:sz w:val="15"/>
                <w:szCs w:val="15"/>
              </w:rPr>
              <w:t xml:space="preserve">Contractual data rights</w:t>
            </w:r>
          </w:p>
        </w:tc>
        <w:tc>
          <w:tcPr>
            <w:tcW w:type="dxa" w:w="7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jc w:val="right"/>
            </w:pPr>
            <w:r>
              <w:rPr>
                <w:rFonts w:ascii="Gill Sans MT" w:cs="Gill Sans MT" w:eastAsia="Gill Sans MT" w:hAnsi="Gill Sans MT"/>
                <w:b/>
                <w:bCs/>
                <w:color w:val="646A7A"/>
                <w:sz w:val="15"/>
                <w:szCs w:val="15"/>
              </w:rPr>
              <w:t xml:space="preserve">N/E</w:t>
            </w:r>
          </w:p>
        </w:tc>
        <w:tc>
          <w:tcPr>
            <w:tcW w:type="dxa" w:w="6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jc w:val="right"/>
            </w:pPr>
            <w:r>
              <w:rPr>
                <w:rFonts w:ascii="Gill Sans MT" w:cs="Gill Sans MT" w:eastAsia="Gill Sans MT" w:hAnsi="Gill Sans MT"/>
                <w:color w:val="2E3232"/>
                <w:sz w:val="15"/>
                <w:szCs w:val="15"/>
              </w:rPr>
              <w:t xml:space="preserve">N/E</w:t>
            </w:r>
          </w:p>
        </w:tc>
        <w:tc>
          <w:tcPr>
            <w:tcW w:type="dxa" w:w="5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jc w:val="center"/>
            </w:pPr>
            <w:r>
              <w:rPr>
                <w:rFonts w:ascii="Gill Sans MT" w:cs="Gill Sans MT" w:eastAsia="Gill Sans MT" w:hAnsi="Gill Sans MT"/>
                <w:color w:val="2E3232"/>
                <w:sz w:val="15"/>
                <w:szCs w:val="15"/>
              </w:rPr>
              <w:t xml:space="preserve">-</w:t>
            </w:r>
          </w:p>
        </w:tc>
        <w:tc>
          <w:tcPr>
            <w:tcW w:type="dxa" w:w="7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jc w:val="right"/>
            </w:pPr>
            <w:r>
              <w:rPr>
                <w:rFonts w:ascii="Gill Sans MT" w:cs="Gill Sans MT" w:eastAsia="Gill Sans MT" w:hAnsi="Gill Sans MT"/>
                <w:color w:val="2E3232"/>
                <w:sz w:val="15"/>
                <w:szCs w:val="15"/>
              </w:rPr>
              <w:t xml:space="preserve">3.0%</w:t>
            </w:r>
          </w:p>
        </w:tc>
        <w:tc>
          <w:tcPr>
            <w:tcW w:type="dxa" w:w="3838"/>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pPr>
            <w:r>
              <w:rPr>
                <w:rFonts w:ascii="Gill Sans MT" w:cs="Gill Sans MT" w:eastAsia="Gill Sans MT" w:hAnsi="Gill Sans MT"/>
                <w:color w:val="2E3232"/>
                <w:sz w:val="15"/>
                <w:szCs w:val="15"/>
              </w:rPr>
              <w:t xml:space="preserve">No terms published. [F23]</w:t>
            </w:r>
          </w:p>
        </w:tc>
      </w:tr>
      <w:tr>
        <w:trPr>
          <w:cantSplit/>
        </w:trPr>
        <w:tc>
          <w:tcPr>
            <w:tcW w:type="dxa" w:w="6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b/>
                <w:bCs/>
                <w:color w:val="2E3232"/>
                <w:sz w:val="15"/>
                <w:szCs w:val="15"/>
              </w:rPr>
              <w:t xml:space="preserve">B1.3</w:t>
            </w:r>
          </w:p>
        </w:tc>
        <w:tc>
          <w:tcPr>
            <w:tcW w:type="dxa" w:w="27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color w:val="2E3232"/>
                <w:sz w:val="15"/>
                <w:szCs w:val="15"/>
              </w:rPr>
              <w:t xml:space="preserve">Existing priced data product or benchmark</w:t>
            </w:r>
          </w:p>
        </w:tc>
        <w:tc>
          <w:tcPr>
            <w:tcW w:type="dxa" w:w="7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jc w:val="right"/>
            </w:pPr>
            <w:r>
              <w:rPr>
                <w:rFonts w:ascii="Gill Sans MT" w:cs="Gill Sans MT" w:eastAsia="Gill Sans MT" w:hAnsi="Gill Sans MT"/>
                <w:b/>
                <w:bCs/>
                <w:color w:val="C0392B"/>
                <w:sz w:val="15"/>
                <w:szCs w:val="15"/>
              </w:rPr>
              <w:t xml:space="preserve">3.0</w:t>
            </w:r>
          </w:p>
        </w:tc>
        <w:tc>
          <w:tcPr>
            <w:tcW w:type="dxa" w:w="6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jc w:val="right"/>
            </w:pPr>
            <w:r>
              <w:rPr>
                <w:rFonts w:ascii="Gill Sans MT" w:cs="Gill Sans MT" w:eastAsia="Gill Sans MT" w:hAnsi="Gill Sans MT"/>
                <w:color w:val="2E3232"/>
                <w:sz w:val="15"/>
                <w:szCs w:val="15"/>
              </w:rPr>
              <w:t xml:space="preserve">0.0</w:t>
            </w:r>
          </w:p>
        </w:tc>
        <w:tc>
          <w:tcPr>
            <w:tcW w:type="dxa" w:w="5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jc w:val="center"/>
            </w:pPr>
            <w:r>
              <w:rPr>
                <w:rFonts w:ascii="Gill Sans MT" w:cs="Gill Sans MT" w:eastAsia="Gill Sans MT" w:hAnsi="Gill Sans MT"/>
                <w:color w:val="2E3232"/>
                <w:sz w:val="15"/>
                <w:szCs w:val="15"/>
              </w:rPr>
              <w:t xml:space="preserve">H</w:t>
            </w:r>
          </w:p>
        </w:tc>
        <w:tc>
          <w:tcPr>
            <w:tcW w:type="dxa" w:w="7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jc w:val="right"/>
            </w:pPr>
            <w:r>
              <w:rPr>
                <w:rFonts w:ascii="Gill Sans MT" w:cs="Gill Sans MT" w:eastAsia="Gill Sans MT" w:hAnsi="Gill Sans MT"/>
                <w:color w:val="2E3232"/>
                <w:sz w:val="15"/>
                <w:szCs w:val="15"/>
              </w:rPr>
              <w:t xml:space="preserve">3.0%</w:t>
            </w:r>
          </w:p>
        </w:tc>
        <w:tc>
          <w:tcPr>
            <w:tcW w:type="dxa" w:w="3838"/>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color w:val="2E3232"/>
                <w:sz w:val="15"/>
                <w:szCs w:val="15"/>
              </w:rPr>
              <w:t xml:space="preserve">None. [F31]</w:t>
            </w:r>
          </w:p>
        </w:tc>
      </w:tr>
    </w:tbl>
    <w:p>
      <w:pPr>
        <w:spacing w:after="40" w:before="0" w:line="276"/>
      </w:pPr>
    </w:p>
    <w:p>
      <w:pPr>
        <w:spacing w:after="80" w:before="0" w:line="240"/>
      </w:pPr>
      <w:r>
        <w:rPr>
          <w:rFonts w:ascii="Gill Sans MT" w:cs="Gill Sans MT" w:eastAsia="Gill Sans MT" w:hAnsi="Gill Sans MT"/>
          <w:color w:val="646A7A"/>
          <w:sz w:val="15"/>
          <w:szCs w:val="15"/>
        </w:rPr>
        <w:t xml:space="preserve">Weakest evidenced area in red. Drivers scored N/E carry no weight; their share is spread across the evidenced drivers in the same area.</w:t>
      </w:r>
    </w:p>
    <w:p>
      <w:pPr>
        <w:keepNext/>
        <w:pBdr>
          <w:bottom w:val="single" w:color="132246" w:sz="6" w:space="3"/>
        </w:pBdr>
        <w:spacing w:after="140" w:before="320" w:line="240"/>
      </w:pPr>
      <w:r>
        <w:rPr>
          <w:rFonts w:ascii="Gill Sans MT" w:cs="Gill Sans MT" w:eastAsia="Gill Sans MT" w:hAnsi="Gill Sans MT"/>
          <w:b/>
          <w:bCs/>
          <w:color w:val="132246"/>
          <w:sz w:val="24"/>
          <w:szCs w:val="24"/>
        </w:rPr>
        <w:t xml:space="preserve">Appendix B  ·  Evidence log (extract)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
        <w:gridCol w:w="3200"/>
        <w:gridCol w:w="1300"/>
        <w:gridCol w:w="4538"/>
      </w:tblGrid>
      <w:tr>
        <w:trPr>
          <w:cantSplit/>
          <w:tblHeader/>
        </w:trPr>
        <w:tc>
          <w:tcPr>
            <w:tcW w:type="dxa" w:w="600"/>
            <w:tcBorders>
              <w:top w:val="none" w:color="FFFFFF" w:sz="0"/>
              <w:left w:val="none" w:color="FFFFFF" w:sz="0"/>
              <w:bottom w:val="none" w:color="FFFFFF" w:sz="0"/>
              <w:right w:val="none" w:color="FFFFFF" w:sz="0"/>
            </w:tcBorders>
            <w:shd w:fill="132246" w:color="auto" w:val="clear"/>
            <w:tcMar>
              <w:top w:type="dxa" w:w="45"/>
              <w:left w:type="dxa" w:w="80"/>
              <w:bottom w:type="dxa" w:w="45"/>
              <w:right w:type="dxa" w:w="80"/>
            </w:tcMar>
          </w:tcPr>
          <w:p>
            <w:pPr>
              <w:spacing w:after="0" w:before="0" w:line="240"/>
            </w:pPr>
            <w:r>
              <w:rPr>
                <w:rFonts w:ascii="Gill Sans MT" w:cs="Gill Sans MT" w:eastAsia="Gill Sans MT" w:hAnsi="Gill Sans MT"/>
                <w:b/>
                <w:bCs/>
                <w:color w:val="FFFFFF"/>
                <w:sz w:val="16"/>
                <w:szCs w:val="16"/>
              </w:rPr>
              <w:t xml:space="preserve">Tag</w:t>
            </w:r>
          </w:p>
        </w:tc>
        <w:tc>
          <w:tcPr>
            <w:tcW w:type="dxa" w:w="3200"/>
            <w:tcBorders>
              <w:top w:val="none" w:color="FFFFFF" w:sz="0"/>
              <w:left w:val="none" w:color="FFFFFF" w:sz="0"/>
              <w:bottom w:val="none" w:color="FFFFFF" w:sz="0"/>
              <w:right w:val="none" w:color="FFFFFF" w:sz="0"/>
            </w:tcBorders>
            <w:shd w:fill="132246" w:color="auto" w:val="clear"/>
            <w:tcMar>
              <w:top w:type="dxa" w:w="45"/>
              <w:left w:type="dxa" w:w="80"/>
              <w:bottom w:type="dxa" w:w="45"/>
              <w:right w:type="dxa" w:w="80"/>
            </w:tcMar>
          </w:tcPr>
          <w:p>
            <w:pPr>
              <w:spacing w:after="0" w:before="0" w:line="240"/>
            </w:pPr>
            <w:r>
              <w:rPr>
                <w:rFonts w:ascii="Gill Sans MT" w:cs="Gill Sans MT" w:eastAsia="Gill Sans MT" w:hAnsi="Gill Sans MT"/>
                <w:b/>
                <w:bCs/>
                <w:color w:val="FFFFFF"/>
                <w:sz w:val="16"/>
                <w:szCs w:val="16"/>
              </w:rPr>
              <w:t xml:space="preserve">Source</w:t>
            </w:r>
          </w:p>
        </w:tc>
        <w:tc>
          <w:tcPr>
            <w:tcW w:type="dxa" w:w="1300"/>
            <w:tcBorders>
              <w:top w:val="none" w:color="FFFFFF" w:sz="0"/>
              <w:left w:val="none" w:color="FFFFFF" w:sz="0"/>
              <w:bottom w:val="none" w:color="FFFFFF" w:sz="0"/>
              <w:right w:val="none" w:color="FFFFFF" w:sz="0"/>
            </w:tcBorders>
            <w:shd w:fill="132246" w:color="auto" w:val="clear"/>
            <w:tcMar>
              <w:top w:type="dxa" w:w="45"/>
              <w:left w:type="dxa" w:w="80"/>
              <w:bottom w:type="dxa" w:w="45"/>
              <w:right w:type="dxa" w:w="80"/>
            </w:tcMar>
          </w:tcPr>
          <w:p>
            <w:pPr>
              <w:spacing w:after="0" w:before="0" w:line="240"/>
            </w:pPr>
            <w:r>
              <w:rPr>
                <w:rFonts w:ascii="Gill Sans MT" w:cs="Gill Sans MT" w:eastAsia="Gill Sans MT" w:hAnsi="Gill Sans MT"/>
                <w:b/>
                <w:bCs/>
                <w:color w:val="FFFFFF"/>
                <w:sz w:val="16"/>
                <w:szCs w:val="16"/>
              </w:rPr>
              <w:t xml:space="preserve">Date</w:t>
            </w:r>
          </w:p>
        </w:tc>
        <w:tc>
          <w:tcPr>
            <w:tcW w:type="dxa" w:w="4538"/>
            <w:tcBorders>
              <w:top w:val="none" w:color="FFFFFF" w:sz="0"/>
              <w:left w:val="none" w:color="FFFFFF" w:sz="0"/>
              <w:bottom w:val="none" w:color="FFFFFF" w:sz="0"/>
              <w:right w:val="none" w:color="FFFFFF" w:sz="0"/>
            </w:tcBorders>
            <w:shd w:fill="132246" w:color="auto" w:val="clear"/>
            <w:tcMar>
              <w:top w:type="dxa" w:w="45"/>
              <w:left w:type="dxa" w:w="80"/>
              <w:bottom w:type="dxa" w:w="45"/>
              <w:right w:type="dxa" w:w="80"/>
            </w:tcMar>
          </w:tcPr>
          <w:p>
            <w:pPr>
              <w:spacing w:after="0" w:before="0" w:line="240"/>
            </w:pPr>
            <w:r>
              <w:rPr>
                <w:rFonts w:ascii="Gill Sans MT" w:cs="Gill Sans MT" w:eastAsia="Gill Sans MT" w:hAnsi="Gill Sans MT"/>
                <w:b/>
                <w:bCs/>
                <w:color w:val="FFFFFF"/>
                <w:sz w:val="16"/>
                <w:szCs w:val="16"/>
              </w:rPr>
              <w:t xml:space="preserve">What it shows</w:t>
            </w:r>
          </w:p>
        </w:tc>
      </w:tr>
      <w:tr>
        <w:trPr>
          <w:cantSplit/>
        </w:trPr>
        <w:tc>
          <w:tcPr>
            <w:tcW w:type="dxa" w:w="6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b/>
                <w:bCs/>
                <w:color w:val="2E3232"/>
                <w:sz w:val="16"/>
                <w:szCs w:val="16"/>
              </w:rPr>
              <w:t xml:space="preserve">F3</w:t>
            </w:r>
          </w:p>
        </w:tc>
        <w:tc>
          <w:tcPr>
            <w:tcW w:type="dxa" w:w="32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color w:val="2E3232"/>
                <w:sz w:val="16"/>
                <w:szCs w:val="16"/>
              </w:rPr>
              <w:t xml:space="preserve">Named college, legacy schedule page</w:t>
            </w:r>
          </w:p>
        </w:tc>
        <w:tc>
          <w:tcPr>
            <w:tcW w:type="dxa" w:w="13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color w:val="2E3232"/>
                <w:sz w:val="16"/>
                <w:szCs w:val="16"/>
              </w:rPr>
              <w:t xml:space="preserve">10 Sep 2026</w:t>
            </w:r>
          </w:p>
        </w:tc>
        <w:tc>
          <w:tcPr>
            <w:tcW w:type="dxa" w:w="4538"/>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color w:val="2E3232"/>
                <w:sz w:val="16"/>
                <w:szCs w:val="16"/>
              </w:rPr>
              <w:t xml:space="preserve">Free static HTML schedule still live for Fall 2026.</w:t>
            </w:r>
          </w:p>
        </w:tc>
      </w:tr>
      <w:tr>
        <w:trPr>
          <w:cantSplit/>
        </w:trPr>
        <w:tc>
          <w:tcPr>
            <w:tcW w:type="dxa" w:w="6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pPr>
            <w:r>
              <w:rPr>
                <w:rFonts w:ascii="Gill Sans MT" w:cs="Gill Sans MT" w:eastAsia="Gill Sans MT" w:hAnsi="Gill Sans MT"/>
                <w:b/>
                <w:bCs/>
                <w:color w:val="2E3232"/>
                <w:sz w:val="16"/>
                <w:szCs w:val="16"/>
              </w:rPr>
              <w:t xml:space="preserve">F6</w:t>
            </w:r>
          </w:p>
        </w:tc>
        <w:tc>
          <w:tcPr>
            <w:tcW w:type="dxa" w:w="32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pPr>
            <w:r>
              <w:rPr>
                <w:rFonts w:ascii="Gill Sans MT" w:cs="Gill Sans MT" w:eastAsia="Gill Sans MT" w:hAnsi="Gill Sans MT"/>
                <w:color w:val="2E3232"/>
                <w:sz w:val="16"/>
                <w:szCs w:val="16"/>
              </w:rPr>
              <w:t xml:space="preserve">acmescheduling.example/pricing</w:t>
            </w:r>
          </w:p>
        </w:tc>
        <w:tc>
          <w:tcPr>
            <w:tcW w:type="dxa" w:w="13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pPr>
            <w:r>
              <w:rPr>
                <w:rFonts w:ascii="Gill Sans MT" w:cs="Gill Sans MT" w:eastAsia="Gill Sans MT" w:hAnsi="Gill Sans MT"/>
                <w:color w:val="2E3232"/>
                <w:sz w:val="16"/>
                <w:szCs w:val="16"/>
              </w:rPr>
              <w:t xml:space="preserve">10 Sep 2026</w:t>
            </w:r>
          </w:p>
        </w:tc>
        <w:tc>
          <w:tcPr>
            <w:tcW w:type="dxa" w:w="4538"/>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pPr>
            <w:r>
              <w:rPr>
                <w:rFonts w:ascii="Gill Sans MT" w:cs="Gill Sans MT" w:eastAsia="Gill Sans MT" w:hAnsi="Gill Sans MT"/>
                <w:color w:val="2E3232"/>
                <w:sz w:val="16"/>
                <w:szCs w:val="16"/>
              </w:rPr>
              <w:t xml:space="preserve">Three tiers, annual, quote only; no per-seat fee.</w:t>
            </w:r>
          </w:p>
        </w:tc>
      </w:tr>
      <w:tr>
        <w:trPr>
          <w:cantSplit/>
        </w:trPr>
        <w:tc>
          <w:tcPr>
            <w:tcW w:type="dxa" w:w="6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b/>
                <w:bCs/>
                <w:color w:val="2E3232"/>
                <w:sz w:val="16"/>
                <w:szCs w:val="16"/>
              </w:rPr>
              <w:t xml:space="preserve">F11</w:t>
            </w:r>
          </w:p>
        </w:tc>
        <w:tc>
          <w:tcPr>
            <w:tcW w:type="dxa" w:w="32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color w:val="2E3232"/>
                <w:sz w:val="16"/>
                <w:szCs w:val="16"/>
              </w:rPr>
              <w:t xml:space="preserve">acmescheduling.example/integrations</w:t>
            </w:r>
          </w:p>
        </w:tc>
        <w:tc>
          <w:tcPr>
            <w:tcW w:type="dxa" w:w="13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color w:val="2E3232"/>
                <w:sz w:val="16"/>
                <w:szCs w:val="16"/>
              </w:rPr>
              <w:t xml:space="preserve">10 Sep 2026</w:t>
            </w:r>
          </w:p>
        </w:tc>
        <w:tc>
          <w:tcPr>
            <w:tcW w:type="dxa" w:w="4538"/>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color w:val="2E3232"/>
                <w:sz w:val="16"/>
                <w:szCs w:val="16"/>
              </w:rPr>
              <w:t xml:space="preserve">One-way SQL export; 'no middleware'.</w:t>
            </w:r>
          </w:p>
        </w:tc>
      </w:tr>
      <w:tr>
        <w:trPr>
          <w:cantSplit/>
        </w:trPr>
        <w:tc>
          <w:tcPr>
            <w:tcW w:type="dxa" w:w="6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pPr>
            <w:r>
              <w:rPr>
                <w:rFonts w:ascii="Gill Sans MT" w:cs="Gill Sans MT" w:eastAsia="Gill Sans MT" w:hAnsi="Gill Sans MT"/>
                <w:b/>
                <w:bCs/>
                <w:color w:val="2E3232"/>
                <w:sz w:val="16"/>
                <w:szCs w:val="16"/>
              </w:rPr>
              <w:t xml:space="preserve">F20</w:t>
            </w:r>
          </w:p>
        </w:tc>
        <w:tc>
          <w:tcPr>
            <w:tcW w:type="dxa" w:w="32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pPr>
            <w:r>
              <w:rPr>
                <w:rFonts w:ascii="Gill Sans MT" w:cs="Gill Sans MT" w:eastAsia="Gill Sans MT" w:hAnsi="Gill Sans MT"/>
                <w:color w:val="2E3232"/>
                <w:sz w:val="16"/>
                <w:szCs w:val="16"/>
              </w:rPr>
              <w:t xml:space="preserve">WHOIS record</w:t>
            </w:r>
          </w:p>
        </w:tc>
        <w:tc>
          <w:tcPr>
            <w:tcW w:type="dxa" w:w="1300"/>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pPr>
            <w:r>
              <w:rPr>
                <w:rFonts w:ascii="Gill Sans MT" w:cs="Gill Sans MT" w:eastAsia="Gill Sans MT" w:hAnsi="Gill Sans MT"/>
                <w:color w:val="2E3232"/>
                <w:sz w:val="16"/>
                <w:szCs w:val="16"/>
              </w:rPr>
              <w:t xml:space="preserve">17 Apr 2026</w:t>
            </w:r>
          </w:p>
        </w:tc>
        <w:tc>
          <w:tcPr>
            <w:tcW w:type="dxa" w:w="4538"/>
            <w:tcBorders>
              <w:top w:val="none" w:color="FFFFFF" w:sz="0"/>
              <w:left w:val="none" w:color="FFFFFF" w:sz="0"/>
              <w:bottom w:val="dotted" w:color="E9EBEB" w:sz="4"/>
              <w:right w:val="none" w:color="FFFFFF" w:sz="0"/>
            </w:tcBorders>
            <w:shd w:fill="F2F2F2" w:color="auto" w:val="clear"/>
            <w:tcMar>
              <w:top w:type="dxa" w:w="45"/>
              <w:left w:type="dxa" w:w="80"/>
              <w:bottom w:type="dxa" w:w="45"/>
              <w:right w:type="dxa" w:w="80"/>
            </w:tcMar>
          </w:tcPr>
          <w:p>
            <w:pPr>
              <w:spacing w:after="0" w:before="0" w:line="240"/>
            </w:pPr>
            <w:r>
              <w:rPr>
                <w:rFonts w:ascii="Gill Sans MT" w:cs="Gill Sans MT" w:eastAsia="Gill Sans MT" w:hAnsi="Gill Sans MT"/>
                <w:color w:val="2E3232"/>
                <w:sz w:val="16"/>
                <w:szCs w:val="16"/>
              </w:rPr>
              <w:t xml:space="preserve">Domain registered.</w:t>
            </w:r>
          </w:p>
        </w:tc>
      </w:tr>
      <w:tr>
        <w:trPr>
          <w:cantSplit/>
        </w:trPr>
        <w:tc>
          <w:tcPr>
            <w:tcW w:type="dxa" w:w="6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b/>
                <w:bCs/>
                <w:color w:val="2E3232"/>
                <w:sz w:val="16"/>
                <w:szCs w:val="16"/>
              </w:rPr>
              <w:t xml:space="preserve">F23</w:t>
            </w:r>
          </w:p>
        </w:tc>
        <w:tc>
          <w:tcPr>
            <w:tcW w:type="dxa" w:w="32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color w:val="2E3232"/>
                <w:sz w:val="16"/>
                <w:szCs w:val="16"/>
              </w:rPr>
              <w:t xml:space="preserve">Site footer</w:t>
            </w:r>
          </w:p>
        </w:tc>
        <w:tc>
          <w:tcPr>
            <w:tcW w:type="dxa" w:w="1300"/>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color w:val="2E3232"/>
                <w:sz w:val="16"/>
                <w:szCs w:val="16"/>
              </w:rPr>
              <w:t xml:space="preserve">10 Sep 2026</w:t>
            </w:r>
          </w:p>
        </w:tc>
        <w:tc>
          <w:tcPr>
            <w:tcW w:type="dxa" w:w="4538"/>
            <w:tcBorders>
              <w:top w:val="none" w:color="FFFFFF" w:sz="0"/>
              <w:left w:val="none" w:color="FFFFFF" w:sz="0"/>
              <w:bottom w:val="dotted" w:color="E9EBEB" w:sz="4"/>
              <w:right w:val="none" w:color="FFFFFF" w:sz="0"/>
            </w:tcBorders>
            <w:tcMar>
              <w:top w:type="dxa" w:w="45"/>
              <w:left w:type="dxa" w:w="80"/>
              <w:bottom w:type="dxa" w:w="45"/>
              <w:right w:type="dxa" w:w="80"/>
            </w:tcMar>
          </w:tcPr>
          <w:p>
            <w:pPr>
              <w:spacing w:after="0" w:before="0" w:line="240"/>
            </w:pPr>
            <w:r>
              <w:rPr>
                <w:rFonts w:ascii="Gill Sans MT" w:cs="Gill Sans MT" w:eastAsia="Gill Sans MT" w:hAnsi="Gill Sans MT"/>
                <w:color w:val="2E3232"/>
                <w:sz w:val="16"/>
                <w:szCs w:val="16"/>
              </w:rPr>
              <w:t xml:space="preserve">No privacy policy, terms, VPAT or SOC 2 link.</w:t>
            </w:r>
          </w:p>
        </w:tc>
      </w:tr>
    </w:tbl>
    <w:p>
      <w:pPr>
        <w:spacing w:after="100" w:before="0" w:line="276"/>
      </w:pPr>
    </w:p>
    <w:sectPr>
      <w:headerReference w:type="default" r:id="rId7"/>
      <w:footerReference w:type="default" r:id="rId8"/>
      <w:pgSz w:w="11906" w:h="16838" w:orient="portrait"/>
      <w:pgMar w:top="1250" w:right="1134" w:bottom="11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BEB" w:sz="4" w:space="4"/>
      </w:pBdr>
      <w:tabs>
        <w:tab w:val="right" w:pos="9638"/>
      </w:tabs>
      <w:spacing w:before="60"/>
    </w:pPr>
    <w:r>
      <w:rPr>
        <w:rFonts w:ascii="Gill Sans MT" w:cs="Gill Sans MT" w:eastAsia="Gill Sans MT" w:hAnsi="Gill Sans MT"/>
        <w:i/>
        <w:iCs/>
        <w:color w:val="646A7A"/>
        <w:sz w:val="16"/>
        <w:szCs w:val="16"/>
      </w:rPr>
      <w:t xml:space="preserve">Acme Scheduling — AI Defensibility Assessment  |  Strictly confidential  |  SilverTree Equity</w:t>
    </w:r>
    <w:r>
      <w:rPr>
        <w:rFonts w:ascii="Gill Sans MT" w:cs="Gill Sans MT" w:eastAsia="Gill Sans MT" w:hAnsi="Gill Sans MT"/>
        <w:color w:val="646A7A"/>
        <w:sz w:val="16"/>
        <w:szCs w:val="16"/>
      </w:rPr>
      <w:tab/>
      <w:t xml:space="preserve">Page </w:t>
    </w:r>
    <w:r>
      <w:rPr>
        <w:rFonts w:ascii="Gill Sans MT" w:cs="Gill Sans MT" w:eastAsia="Gill Sans MT" w:hAnsi="Gill Sans MT"/>
        <w:color w:val="646A7A"/>
        <w:sz w:val="16"/>
        <w:szCs w:val="16"/>
      </w:rPr>
      <w:fldChar w:fldCharType="begin"/>
      <w:instrText xml:space="preserve">PAGE</w:instrText>
      <w:fldChar w:fldCharType="separate"/>
      <w:fldChar w:fldCharType="end"/>
    </w:r>
    <w:r>
      <w:rPr>
        <w:rFonts w:ascii="Gill Sans MT" w:cs="Gill Sans MT" w:eastAsia="Gill Sans MT" w:hAnsi="Gill Sans MT"/>
        <w:color w:val="646A7A"/>
        <w:sz w:val="16"/>
        <w:szCs w:val="16"/>
      </w:rPr>
      <w:t xml:space="preserve"> of </w:t>
    </w:r>
    <w:r>
      <w:rPr>
        <w:rFonts w:ascii="Gill Sans MT" w:cs="Gill Sans MT" w:eastAsia="Gill Sans MT" w:hAnsi="Gill Sans MT"/>
        <w:color w:val="646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EBEB" w:sz="4" w:space="4"/>
      </w:pBdr>
      <w:tabs>
        <w:tab w:val="right" w:pos="9638"/>
      </w:tabs>
      <w:spacing w:after="60"/>
    </w:pPr>
    <w:r>
      <w:drawing>
        <wp:inline distT="0" distB="0" distL="0" distR="0">
          <wp:extent cx="10287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28700" cy="381000"/>
                  </a:xfrm>
                  <a:prstGeom prst="rect">
                    <a:avLst/>
                  </a:prstGeom>
                </pic:spPr>
              </pic:pic>
            </a:graphicData>
          </a:graphic>
        </wp:inline>
      </w:drawing>
    </w:r>
    <w:r>
      <w:rPr>
        <w:rFonts w:ascii="Gill Sans MT" w:cs="Gill Sans MT" w:eastAsia="Gill Sans MT" w:hAnsi="Gill Sans MT"/>
        <w:i/>
        <w:iCs/>
        <w:caps/>
        <w:color w:val="646A7A"/>
        <w:sz w:val="15"/>
        <w:szCs w:val="15"/>
      </w:rPr>
      <w:tab/>
      <w:t xml:space="preserve">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ill Sans MT" w:cs="Gill Sans MT" w:eastAsia="Gill Sans MT" w:hAnsi="Gill Sans MT"/>
        <w:color w:val="2E323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61116887f7614739420b1d16ed6868f696f3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682b94ebf509a92f123298dc811e8ef0fe26e91.png"/></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SilverTree Equity</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Acme Scheduling</dc:title>
  <dc:subject>Worked example for the docx-pack. All facts are invented.</dc:subject>
  <dc:creator>SilverTree Equity</dc:creator>
  <dc:description>Worked example for the docx-pack. All facts are invented.</dc:description>
  <cp:lastModifiedBy>SilverTree Equity</cp:lastModifiedBy>
  <cp:revision>2</cp:revision>
  <dcterms:created xsi:type="dcterms:W3CDTF">2026-09-24T12:40:20Z</dcterms:created>
  <dcterms:modified xsi:type="dcterms:W3CDTF">2026-09-24T12:40:20Z</dcterms:modified>
</cp:coreProperties>
</file>

<file path=docProps/custom.xml><?xml version="1.0" encoding="utf-8"?>
<Properties xmlns="http://schemas.openxmlformats.org/officeDocument/2006/custom-properties" xmlns:vt="http://schemas.openxmlformats.org/officeDocument/2006/docPropsVTypes"/>
</file>