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9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114300</wp:posOffset>
            </wp:positionH>
            <wp:positionV relativeFrom="page">
              <wp:posOffset>114300</wp:posOffset>
            </wp:positionV>
            <wp:extent cx="7334250" cy="10467975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104679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1510" w:after="0"/>
        <w:ind w:left="1142" w:right="0" w:firstLine="0"/>
        <w:jc w:val="left"/>
      </w:pPr>
      <w:r>
        <w:rPr>
          <w:rFonts w:ascii="Segoe UI" w:hAnsi="Segoe UI" w:eastAsia="Segoe UI"/>
          <w:b/>
          <w:i w:val="0"/>
          <w:color w:val="000000"/>
          <w:sz w:val="84"/>
        </w:rPr>
        <w:t>2024</w:t>
      </w:r>
    </w:p>
    <w:p>
      <w:pPr>
        <w:autoSpaceDN w:val="0"/>
        <w:autoSpaceDE w:val="0"/>
        <w:widowControl/>
        <w:spacing w:line="245" w:lineRule="auto" w:before="8568" w:after="0"/>
        <w:ind w:left="6588" w:right="720" w:hanging="1140"/>
        <w:jc w:val="left"/>
      </w:pPr>
      <w:r>
        <w:rPr>
          <w:rFonts w:ascii="Segoe UI" w:hAnsi="Segoe UI" w:eastAsia="Segoe UI"/>
          <w:b/>
          <w:i w:val="0"/>
          <w:color w:val="000000"/>
          <w:sz w:val="44"/>
        </w:rPr>
        <w:t xml:space="preserve">GREENHOUSE GAS (GHG) </w:t>
      </w:r>
      <w:r>
        <w:br/>
      </w:r>
      <w:r>
        <w:rPr>
          <w:rFonts w:ascii="Segoe UI" w:hAnsi="Segoe UI" w:eastAsia="Segoe UI"/>
          <w:b/>
          <w:i w:val="0"/>
          <w:color w:val="000000"/>
          <w:sz w:val="44"/>
        </w:rPr>
        <w:t>EMISSIONS REPORT</w:t>
      </w:r>
    </w:p>
    <w:p>
      <w:pPr>
        <w:autoSpaceDN w:val="0"/>
        <w:autoSpaceDE w:val="0"/>
        <w:widowControl/>
        <w:spacing w:line="240" w:lineRule="auto" w:before="78" w:after="0"/>
        <w:ind w:left="0" w:right="922" w:firstLine="0"/>
        <w:jc w:val="right"/>
      </w:pPr>
      <w:r>
        <w:rPr>
          <w:w w:val="101.3157894736842"/>
          <w:rFonts w:ascii="Segoe UI" w:hAnsi="Segoe UI" w:eastAsia="Segoe UI"/>
          <w:b/>
          <w:i w:val="0"/>
          <w:color w:val="808080"/>
          <w:sz w:val="19"/>
        </w:rPr>
        <w:t xml:space="preserve">For Reporting Period: </w:t>
      </w:r>
      <w:r>
        <w:rPr>
          <w:w w:val="101.3157894736842"/>
          <w:rFonts w:ascii="Segoe UI" w:hAnsi="Segoe UI" w:eastAsia="Segoe UI"/>
          <w:b/>
          <w:i w:val="0"/>
          <w:color w:val="000000"/>
          <w:sz w:val="19"/>
        </w:rPr>
        <w:t>1 Jan 2022 - 31 Dec 2022</w:t>
      </w:r>
    </w:p>
    <w:p>
      <w:pPr>
        <w:autoSpaceDN w:val="0"/>
        <w:tabs>
          <w:tab w:pos="8866" w:val="left"/>
        </w:tabs>
        <w:autoSpaceDE w:val="0"/>
        <w:widowControl/>
        <w:spacing w:line="240" w:lineRule="auto" w:before="406" w:after="0"/>
        <w:ind w:left="5896" w:right="0" w:firstLine="0"/>
        <w:jc w:val="left"/>
      </w:pPr>
      <w:r>
        <w:rPr>
          <w:w w:val="101.3157894736842"/>
          <w:rFonts w:ascii="Segoe UI" w:hAnsi="Segoe UI" w:eastAsia="Segoe UI"/>
          <w:b/>
          <w:i w:val="0"/>
          <w:color w:val="808080"/>
          <w:sz w:val="19"/>
        </w:rPr>
        <w:t xml:space="preserve">PREPARED BY: </w:t>
      </w:r>
      <w:r>
        <w:tab/>
      </w:r>
      <w:r>
        <w:rPr>
          <w:w w:val="101.3157894736842"/>
          <w:rFonts w:ascii="Segoe UI" w:hAnsi="Segoe UI" w:eastAsia="Segoe UI"/>
          <w:b/>
          <w:i w:val="0"/>
          <w:color w:val="808080"/>
          <w:sz w:val="19"/>
        </w:rPr>
        <w:t>PRESENTED TO:</w:t>
      </w:r>
    </w:p>
    <w:p>
      <w:pPr>
        <w:autoSpaceDN w:val="0"/>
        <w:autoSpaceDE w:val="0"/>
        <w:widowControl/>
        <w:spacing w:line="240" w:lineRule="auto" w:before="132" w:after="390"/>
        <w:ind w:left="0" w:right="1048" w:firstLine="0"/>
        <w:jc w:val="right"/>
      </w:pPr>
      <w:r>
        <w:rPr>
          <w:rFonts w:ascii="Segoe UI" w:hAnsi="Segoe UI" w:eastAsia="Segoe UI"/>
          <w:b w:val="0"/>
          <w:i w:val="0"/>
          <w:color w:val="808080"/>
          <w:sz w:val="17"/>
        </w:rPr>
        <w:t>Evercomm Taiwan Pte Ltd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0.0" w:type="dxa"/>
      </w:tblPr>
      <w:tblGrid>
        <w:gridCol w:w="5784"/>
        <w:gridCol w:w="5784"/>
      </w:tblGrid>
      <w:tr>
        <w:trPr>
          <w:trHeight w:hRule="exact" w:val="662"/>
        </w:trPr>
        <w:tc>
          <w:tcPr>
            <w:tcW w:type="dxa" w:w="4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60" w:after="0"/>
              <w:ind w:left="2880" w:right="576" w:firstLine="0"/>
              <w:jc w:val="center"/>
            </w:pPr>
            <w:r>
              <w:rPr>
                <w:w w:val="98.4375"/>
                <w:rFonts w:ascii="bootstrap" w:hAnsi="bootstrap" w:eastAsia="bootstrap"/>
                <w:b w:val="0"/>
                <w:i w:val="0"/>
                <w:color w:val="808080"/>
                <w:sz w:val="22"/>
              </w:rPr>
              <w:t></w:t>
            </w:r>
            <w:r>
              <w:br/>
            </w:r>
            <w:r>
              <w:rPr>
                <w:w w:val="101.3157894736842"/>
                <w:rFonts w:ascii="Segoe UI" w:hAnsi="Segoe UI" w:eastAsia="Segoe UI"/>
                <w:b/>
                <w:i w:val="0"/>
                <w:color w:val="808080"/>
                <w:sz w:val="19"/>
              </w:rPr>
              <w:t>+65 68718807</w:t>
            </w:r>
          </w:p>
        </w:tc>
        <w:tc>
          <w:tcPr>
            <w:tcW w:type="dxa" w:w="3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60" w:after="0"/>
              <w:ind w:left="576" w:right="432" w:firstLine="0"/>
              <w:jc w:val="center"/>
            </w:pPr>
            <w:r>
              <w:rPr>
                <w:w w:val="98.4375"/>
                <w:rFonts w:ascii="bootstrap" w:hAnsi="bootstrap" w:eastAsia="bootstrap"/>
                <w:b w:val="0"/>
                <w:i w:val="0"/>
                <w:color w:val="808080"/>
                <w:sz w:val="22"/>
              </w:rPr>
              <w:t></w:t>
            </w:r>
            <w:r>
              <w:br/>
            </w:r>
            <w:r>
              <w:rPr>
                <w:w w:val="101.3157894736842"/>
                <w:rFonts w:ascii="Segoe UI" w:hAnsi="Segoe UI" w:eastAsia="Segoe UI"/>
                <w:b/>
                <w:i w:val="0"/>
                <w:color w:val="808080"/>
                <w:sz w:val="19"/>
              </w:rPr>
              <w:t>info@evercomm.com.sg</w:t>
            </w:r>
          </w:p>
        </w:tc>
      </w:tr>
    </w:tbl>
    <w:p>
      <w:pPr>
        <w:autoSpaceDN w:val="0"/>
        <w:autoSpaceDE w:val="0"/>
        <w:widowControl/>
        <w:spacing w:line="259" w:lineRule="auto" w:before="902" w:after="0"/>
        <w:ind w:left="422" w:right="3600" w:firstLine="0"/>
        <w:jc w:val="left"/>
      </w:pPr>
      <w:r>
        <w:rPr>
          <w:rFonts w:ascii="Segoe UI" w:hAnsi="Segoe UI" w:eastAsia="Segoe UI"/>
          <w:b/>
          <w:i w:val="0"/>
          <w:color w:val="000000"/>
          <w:sz w:val="17"/>
        </w:rPr>
        <w:t xml:space="preserve">Notes </w:t>
      </w:r>
      <w:r>
        <w:br/>
      </w:r>
      <w:r>
        <w:rPr>
          <w:rFonts w:ascii="Segoe UI" w:hAnsi="Segoe UI" w:eastAsia="Segoe UI"/>
          <w:b w:val="0"/>
          <w:i w:val="0"/>
          <w:color w:val="000000"/>
          <w:sz w:val="17"/>
        </w:rPr>
        <w:t xml:space="preserve">This Greenhouse Gas Emissions Report is aligned with ISO 14064-1 Clause 9.3 reporting guideline and </w:t>
      </w:r>
      <w:r>
        <w:rPr>
          <w:rFonts w:ascii="Segoe UI" w:hAnsi="Segoe UI" w:eastAsia="Segoe UI"/>
          <w:b w:val="0"/>
          <w:i w:val="0"/>
          <w:color w:val="000000"/>
          <w:sz w:val="17"/>
        </w:rPr>
        <w:t>is automatically generated for internal use by the reporting company only.</w:t>
      </w:r>
    </w:p>
    <w:p>
      <w:pPr>
        <w:sectPr>
          <w:pgSz w:w="11899" w:h="16838"/>
          <w:pgMar w:top="9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584" w:after="0"/>
        <w:ind w:left="3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>Table of Contents</w:t>
      </w:r>
    </w:p>
    <w:p>
      <w:pPr>
        <w:autoSpaceDN w:val="0"/>
        <w:autoSpaceDE w:val="0"/>
        <w:widowControl/>
        <w:spacing w:line="197" w:lineRule="auto" w:before="484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1. About the Report</w:t>
      </w:r>
    </w:p>
    <w:p>
      <w:pPr>
        <w:autoSpaceDN w:val="0"/>
        <w:autoSpaceDE w:val="0"/>
        <w:widowControl/>
        <w:spacing w:line="199" w:lineRule="auto" w:before="384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2. Organization Profile</w:t>
      </w:r>
    </w:p>
    <w:p>
      <w:pPr>
        <w:autoSpaceDN w:val="0"/>
        <w:autoSpaceDE w:val="0"/>
        <w:widowControl/>
        <w:spacing w:line="197" w:lineRule="auto" w:before="384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3. Company Location Data</w:t>
      </w:r>
    </w:p>
    <w:p>
      <w:pPr>
        <w:autoSpaceDN w:val="0"/>
        <w:autoSpaceDE w:val="0"/>
        <w:widowControl/>
        <w:spacing w:line="197" w:lineRule="auto" w:before="386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4. Base-year GHG inventory</w:t>
      </w:r>
    </w:p>
    <w:p>
      <w:pPr>
        <w:autoSpaceDN w:val="0"/>
        <w:autoSpaceDE w:val="0"/>
        <w:widowControl/>
        <w:spacing w:line="197" w:lineRule="auto" w:before="386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5. Changes in Base-year GHG inventory calculation</w:t>
      </w:r>
    </w:p>
    <w:p>
      <w:pPr>
        <w:autoSpaceDN w:val="0"/>
        <w:autoSpaceDE w:val="0"/>
        <w:widowControl/>
        <w:spacing w:line="199" w:lineRule="auto" w:before="384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6. Organizational Boundaries</w:t>
      </w:r>
    </w:p>
    <w:p>
      <w:pPr>
        <w:autoSpaceDN w:val="0"/>
        <w:autoSpaceDE w:val="0"/>
        <w:widowControl/>
        <w:spacing w:line="197" w:lineRule="auto" w:before="384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7. GHG reporting methodology using NXMap</w:t>
      </w:r>
    </w:p>
    <w:p>
      <w:pPr>
        <w:autoSpaceDN w:val="0"/>
        <w:autoSpaceDE w:val="0"/>
        <w:widowControl/>
        <w:spacing w:line="197" w:lineRule="auto" w:before="386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8. Calculation approach</w:t>
      </w:r>
    </w:p>
    <w:p>
      <w:pPr>
        <w:autoSpaceDN w:val="0"/>
        <w:autoSpaceDE w:val="0"/>
        <w:widowControl/>
        <w:spacing w:line="197" w:lineRule="auto" w:before="386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9. Calculation tools used</w:t>
      </w:r>
    </w:p>
    <w:p>
      <w:pPr>
        <w:autoSpaceDN w:val="0"/>
        <w:autoSpaceDE w:val="0"/>
        <w:widowControl/>
        <w:spacing w:line="199" w:lineRule="auto" w:before="384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10. Materiality Assessment Table</w:t>
      </w:r>
    </w:p>
    <w:p>
      <w:pPr>
        <w:autoSpaceDN w:val="0"/>
        <w:autoSpaceDE w:val="0"/>
        <w:widowControl/>
        <w:spacing w:line="197" w:lineRule="auto" w:before="384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11. Reporting Boundaries</w:t>
      </w:r>
    </w:p>
    <w:p>
      <w:pPr>
        <w:autoSpaceDN w:val="0"/>
        <w:autoSpaceDE w:val="0"/>
        <w:widowControl/>
        <w:spacing w:line="197" w:lineRule="auto" w:before="386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12. Direct Emissions by gas type (summary)</w:t>
      </w:r>
    </w:p>
    <w:p>
      <w:pPr>
        <w:autoSpaceDN w:val="0"/>
        <w:autoSpaceDE w:val="0"/>
        <w:widowControl/>
        <w:spacing w:line="197" w:lineRule="auto" w:before="386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13. Exclusions</w:t>
      </w:r>
    </w:p>
    <w:p>
      <w:pPr>
        <w:autoSpaceDN w:val="0"/>
        <w:autoSpaceDE w:val="0"/>
        <w:widowControl/>
        <w:spacing w:line="199" w:lineRule="auto" w:before="384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14. Emission Factors Summary</w:t>
      </w:r>
    </w:p>
    <w:p>
      <w:pPr>
        <w:autoSpaceDN w:val="0"/>
        <w:autoSpaceDE w:val="0"/>
        <w:widowControl/>
        <w:spacing w:line="197" w:lineRule="auto" w:before="384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15. Uncertainty Assessment</w:t>
      </w:r>
    </w:p>
    <w:p>
      <w:pPr>
        <w:autoSpaceDN w:val="0"/>
        <w:autoSpaceDE w:val="0"/>
        <w:widowControl/>
        <w:spacing w:line="197" w:lineRule="auto" w:before="386" w:after="0"/>
        <w:ind w:left="842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16. Greenhouse Gas Mitigation Activities</w:t>
      </w: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578" w:after="0"/>
        <w:ind w:left="288" w:right="0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>1. About This Greenhouse Gas(GHG) Report</w:t>
      </w:r>
    </w:p>
    <w:p>
      <w:pPr>
        <w:autoSpaceDN w:val="0"/>
        <w:autoSpaceDE w:val="0"/>
        <w:widowControl/>
        <w:spacing w:line="252" w:lineRule="auto" w:before="308" w:after="0"/>
        <w:ind w:left="288" w:right="550" w:firstLine="0"/>
        <w:jc w:val="both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Evercomm Taiwan Pte Ltd’s 2022 Greenhouse Gas (“GHG”) Emissions Report (“GHG Emissions Report” or “Report”) is being provided for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Evercomm Taiwan Pte Ltd (together, with its subsidiaries, unless the context otherwise indicates, “Evercomm Taiwan Pte Ltd” or the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“Company” or the “firm”). All data in this report is provided for the year-ended 2022 unless otherwise noted. This Report is presented in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accordance with the Greenhouse Gas Protocol: A Corporate Accounting and Reporting Standard (Revised Edition) (“GHG Protocol”). This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report is prepared in accordance to the ISO 14064 reporting guideline (Clause 9.3).</w:t>
      </w:r>
    </w:p>
    <w:p>
      <w:pPr>
        <w:autoSpaceDN w:val="0"/>
        <w:autoSpaceDE w:val="0"/>
        <w:widowControl/>
        <w:spacing w:line="197" w:lineRule="auto" w:before="252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About The GHG Protocol</w:t>
      </w:r>
    </w:p>
    <w:p>
      <w:pPr>
        <w:autoSpaceDN w:val="0"/>
        <w:autoSpaceDE w:val="0"/>
        <w:widowControl/>
        <w:spacing w:line="307" w:lineRule="auto" w:before="290" w:after="0"/>
        <w:ind w:left="288" w:right="550" w:firstLine="0"/>
        <w:jc w:val="both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The GHG Protocol was established through a partnership of non-governmental organizations, governments, and other stakeholders that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was convened by the World Resources Institute (“WRI”) and the World Business Council for Sustainable Development (“WBCSD”). The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GHG Protocol provides a consistent standard and guidance for the measurement and reporting of GHG emissions by companies.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Evercomm Taiwan Pte Ltd has adopted this standard for measuring and reporting on the GHG emissions that arise from Evercomm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Taiwan Pte Ltd’s business operations.</w:t>
      </w:r>
    </w:p>
    <w:p>
      <w:pPr>
        <w:autoSpaceDN w:val="0"/>
        <w:autoSpaceDE w:val="0"/>
        <w:widowControl/>
        <w:spacing w:line="197" w:lineRule="auto" w:before="324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Level Of Assurance</w:t>
      </w:r>
    </w:p>
    <w:p>
      <w:pPr>
        <w:autoSpaceDN w:val="0"/>
        <w:autoSpaceDE w:val="0"/>
        <w:widowControl/>
        <w:spacing w:line="197" w:lineRule="auto" w:before="326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Type of assurances:</w:t>
      </w:r>
    </w:p>
    <w:p>
      <w:pPr>
        <w:autoSpaceDN w:val="0"/>
        <w:autoSpaceDE w:val="0"/>
        <w:widowControl/>
        <w:spacing w:line="264" w:lineRule="auto" w:before="338" w:after="0"/>
        <w:ind w:left="288" w:right="432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The data disclosed in this Greenhouse Gas Emission Report has been verified by an independent external 3rd party, Evercomm Taiwan Pte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Ltd, with Reasonable Assurance.</w:t>
      </w:r>
    </w:p>
    <w:p>
      <w:pPr>
        <w:autoSpaceDN w:val="0"/>
        <w:autoSpaceDE w:val="0"/>
        <w:widowControl/>
        <w:spacing w:line="233" w:lineRule="auto" w:before="290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3  party reasonable assurance </w:t>
      </w:r>
      <w:r>
        <w:rPr>
          <w:w w:val="103.125"/>
          <w:rFonts w:ascii="Calibri" w:hAnsi="Calibri" w:eastAsia="Calibri"/>
          <w:b w:val="0"/>
          <w:i w:val="0"/>
          <w:color w:val="000000"/>
          <w:sz w:val="14"/>
        </w:rPr>
        <w:t>rd</w:t>
      </w:r>
    </w:p>
    <w:p>
      <w:pPr>
        <w:autoSpaceDN w:val="0"/>
        <w:autoSpaceDE w:val="0"/>
        <w:widowControl/>
        <w:spacing w:line="286" w:lineRule="auto" w:before="324" w:after="0"/>
        <w:ind w:left="288" w:right="550" w:firstLine="918"/>
        <w:jc w:val="both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 b. An external independent party will be required to verify the emissions data disclosed on the NXMap® Platform with the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highest achievable level of confidence, involving more tests of control, focused on the GHG inventory and underlying data, with testing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procedures more extensive in scope and the evaluation of data management processes.</w:t>
      </w:r>
    </w:p>
    <w:p>
      <w:pPr>
        <w:autoSpaceDN w:val="0"/>
        <w:autoSpaceDE w:val="0"/>
        <w:widowControl/>
        <w:spacing w:line="197" w:lineRule="auto" w:before="746" w:after="0"/>
        <w:ind w:left="288" w:right="0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>2. Organization Profile</w:t>
      </w:r>
    </w:p>
    <w:p>
      <w:pPr>
        <w:autoSpaceDN w:val="0"/>
        <w:autoSpaceDE w:val="0"/>
        <w:widowControl/>
        <w:spacing w:line="197" w:lineRule="auto" w:before="344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a) Description of the reporting organization (Parent Company) [user input text]</w:t>
      </w:r>
    </w:p>
    <w:p>
      <w:pPr>
        <w:autoSpaceDN w:val="0"/>
        <w:autoSpaceDE w:val="0"/>
        <w:widowControl/>
        <w:spacing w:line="197" w:lineRule="auto" w:before="326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b) Person or entity responsible for the report [user input,from on-boarding page]</w:t>
      </w:r>
    </w:p>
    <w:p>
      <w:pPr>
        <w:autoSpaceDN w:val="0"/>
        <w:autoSpaceDE w:val="0"/>
        <w:widowControl/>
        <w:spacing w:line="199" w:lineRule="auto" w:before="324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c) Reporting period covered [user input, from on-boarding page]</w:t>
      </w:r>
    </w:p>
    <w:p>
      <w:pPr>
        <w:autoSpaceDN w:val="0"/>
        <w:autoSpaceDE w:val="0"/>
        <w:widowControl/>
        <w:spacing w:line="197" w:lineRule="auto" w:before="324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d) List of subsidiaries under Parent Company [user input,from on-boarding page]</w:t>
      </w:r>
    </w:p>
    <w:p>
      <w:pPr>
        <w:autoSpaceDN w:val="0"/>
        <w:autoSpaceDE w:val="0"/>
        <w:widowControl/>
        <w:spacing w:line="197" w:lineRule="auto" w:before="338" w:after="24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e) List of subsidiaries reporting under Parent Company.[user input,from on-boarding page]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928"/>
        <w:gridCol w:w="1928"/>
        <w:gridCol w:w="1928"/>
        <w:gridCol w:w="1928"/>
        <w:gridCol w:w="1928"/>
        <w:gridCol w:w="1928"/>
      </w:tblGrid>
      <w:tr>
        <w:trPr>
          <w:trHeight w:hRule="exact" w:val="446"/>
        </w:trPr>
        <w:tc>
          <w:tcPr>
            <w:tcW w:type="dxa" w:w="107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>S/N</w:t>
            </w:r>
          </w:p>
        </w:tc>
        <w:tc>
          <w:tcPr>
            <w:tcW w:type="dxa" w:w="214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>Person in charge</w:t>
            </w:r>
          </w:p>
        </w:tc>
        <w:tc>
          <w:tcPr>
            <w:tcW w:type="dxa" w:w="2140"/>
            <w:tcBorders>
              <w:start w:sz="4.7999999999999545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>Entity Type</w:t>
            </w:r>
          </w:p>
        </w:tc>
        <w:tc>
          <w:tcPr>
            <w:tcW w:type="dxa" w:w="2154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6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>Entity Name</w:t>
            </w:r>
          </w:p>
        </w:tc>
        <w:tc>
          <w:tcPr>
            <w:tcW w:type="dxa" w:w="214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>Reporting Name</w:t>
            </w:r>
          </w:p>
        </w:tc>
        <w:tc>
          <w:tcPr>
            <w:tcW w:type="dxa" w:w="107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>Status</w:t>
            </w:r>
          </w:p>
        </w:tc>
      </w:tr>
      <w:tr>
        <w:trPr>
          <w:trHeight w:hRule="exact" w:val="156"/>
        </w:trPr>
        <w:tc>
          <w:tcPr>
            <w:tcW w:type="dxa" w:w="107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4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40"/>
            <w:tcBorders>
              <w:start w:sz="4.7999999999999545" w:val="single" w:color="#C7CCD0"/>
              <w:top w:sz="4.800000000000182" w:val="single" w:color="#C7CCD0"/>
              <w:end w:sz="4.799999999999727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4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4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7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56"/>
        </w:trPr>
        <w:tc>
          <w:tcPr>
            <w:tcW w:type="dxa" w:w="1072"/>
            <w:tcBorders>
              <w:start w:sz="4.800000000000011" w:val="single" w:color="#C7CCD0"/>
              <w:top w:sz="4.79999999999927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42"/>
            <w:tcBorders>
              <w:start w:sz="4.7999999999999545" w:val="single" w:color="#C7CCD0"/>
              <w:top w:sz="4.79999999999927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40"/>
            <w:tcBorders>
              <w:start w:sz="4.7999999999999545" w:val="single" w:color="#C7CCD0"/>
              <w:top w:sz="4.79999999999927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4"/>
            <w:tcBorders>
              <w:start w:sz="4.799999999999727" w:val="single" w:color="#C7CCD0"/>
              <w:top w:sz="4.79999999999927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42"/>
            <w:tcBorders>
              <w:start w:sz="4.799999999999727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70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58"/>
        </w:trPr>
        <w:tc>
          <w:tcPr>
            <w:tcW w:type="dxa" w:w="107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4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40"/>
            <w:tcBorders>
              <w:start w:sz="4.7999999999999545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4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4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7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97" w:lineRule="auto" w:before="276" w:after="0"/>
        <w:ind w:left="2496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Table 1: Summary of person-in-charge, entity and status of GHG emissions report</w:t>
      </w:r>
    </w:p>
    <w:p>
      <w:pPr>
        <w:autoSpaceDN w:val="0"/>
        <w:autoSpaceDE w:val="0"/>
        <w:widowControl/>
        <w:spacing w:line="197" w:lineRule="auto" w:before="734" w:after="260"/>
        <w:ind w:left="288" w:right="0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>3. Company Location Data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5784"/>
        <w:gridCol w:w="5784"/>
      </w:tblGrid>
      <w:tr>
        <w:trPr>
          <w:trHeight w:hRule="exact" w:val="686"/>
        </w:trPr>
        <w:tc>
          <w:tcPr>
            <w:tcW w:type="dxa" w:w="3358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Base-year GHG inventory</w:t>
            </w:r>
          </w:p>
        </w:tc>
        <w:tc>
          <w:tcPr>
            <w:tcW w:type="dxa" w:w="7362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1569"/>
      </w:tblGrid>
      <w:tr>
        <w:trPr>
          <w:trHeight w:hRule="exact" w:val="678"/>
        </w:trPr>
        <w:tc>
          <w:tcPr>
            <w:tcW w:type="dxa" w:w="10720"/>
            <w:tcBorders>
              <w:start w:sz="4.800000000000011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Basic Information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2314"/>
        <w:gridCol w:w="2314"/>
        <w:gridCol w:w="2314"/>
        <w:gridCol w:w="2314"/>
        <w:gridCol w:w="2314"/>
      </w:tblGrid>
      <w:tr>
        <w:trPr>
          <w:trHeight w:hRule="exact" w:val="686"/>
        </w:trPr>
        <w:tc>
          <w:tcPr>
            <w:tcW w:type="dxa" w:w="2190"/>
            <w:tcBorders>
              <w:start w:sz="4.800000000000011" w:val="single" w:color="#C7CCD0"/>
              <w:top w:sz="4.799999999999997" w:val="single" w:color="#C7CCD0"/>
              <w:end w:sz="4.7999999999999545" w:val="single" w:color="#C7CCD0"/>
              <w:bottom w:sz="4.800000000000011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Registration Number</w:t>
            </w:r>
          </w:p>
        </w:tc>
        <w:tc>
          <w:tcPr>
            <w:tcW w:type="dxa" w:w="8530"/>
            <w:gridSpan w:val="4"/>
            <w:tcBorders>
              <w:start w:sz="4.7999999999999545" w:val="single" w:color="#C7CCD0"/>
              <w:top w:sz="4.799999999999997" w:val="single" w:color="#C7CCD0"/>
              <w:end w:sz="4.800000000000182" w:val="single" w:color="#C7CCD0"/>
              <w:bottom w:sz="4.800000000000011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86"/>
        </w:trPr>
        <w:tc>
          <w:tcPr>
            <w:tcW w:type="dxa" w:w="2190"/>
            <w:tcBorders>
              <w:start w:sz="4.800000000000011" w:val="single" w:color="#C7CCD0"/>
              <w:top w:sz="4.800000000000011" w:val="single" w:color="#C7CCD0"/>
              <w:end w:sz="4.7999999999999545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Company Name</w:t>
            </w:r>
          </w:p>
        </w:tc>
        <w:tc>
          <w:tcPr>
            <w:tcW w:type="dxa" w:w="8530"/>
            <w:gridSpan w:val="4"/>
            <w:tcBorders>
              <w:start w:sz="4.7999999999999545" w:val="single" w:color="#C7CCD0"/>
              <w:top w:sz="4.800000000000011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52" w:after="0"/>
              <w:ind w:left="156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Evercomm Taiwan Pte Ltd</w:t>
            </w:r>
          </w:p>
        </w:tc>
      </w:tr>
      <w:tr>
        <w:trPr>
          <w:trHeight w:hRule="exact" w:val="1022"/>
        </w:trPr>
        <w:tc>
          <w:tcPr>
            <w:tcW w:type="dxa" w:w="2190"/>
            <w:tcBorders>
              <w:start w:sz="4.800000000000011" w:val="single" w:color="#C7CCD0"/>
              <w:top w:sz="4.800000000000068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3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Tax ID Number</w:t>
            </w:r>
          </w:p>
        </w:tc>
        <w:tc>
          <w:tcPr>
            <w:tcW w:type="dxa" w:w="4078"/>
            <w:gridSpan w:val="2"/>
            <w:tcBorders>
              <w:start w:sz="4.7999999999999545" w:val="single" w:color="#C7CCD0"/>
              <w:top w:sz="4.800000000000068" w:val="single" w:color="#C7CCD0"/>
              <w:end w:sz="4.0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408"/>
            <w:tcBorders>
              <w:start w:sz="4.0" w:val="single" w:color="#C7CCD0"/>
              <w:top w:sz="4.800000000000068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168" w:after="0"/>
              <w:ind w:left="288" w:right="288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Factory Registration </w:t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Number</w:t>
            </w:r>
          </w:p>
        </w:tc>
        <w:tc>
          <w:tcPr>
            <w:tcW w:type="dxa" w:w="2044"/>
            <w:tcBorders>
              <w:start w:sz="4.800000000000182" w:val="single" w:color="#C7CCD0"/>
              <w:top w:sz="4.800000000000068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86"/>
        </w:trPr>
        <w:tc>
          <w:tcPr>
            <w:tcW w:type="dxa" w:w="2190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6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Address</w:t>
            </w:r>
          </w:p>
        </w:tc>
        <w:tc>
          <w:tcPr>
            <w:tcW w:type="dxa" w:w="8530"/>
            <w:gridSpan w:val="4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98"/>
        </w:trPr>
        <w:tc>
          <w:tcPr>
            <w:tcW w:type="dxa" w:w="2190"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Industry classification</w:t>
            </w:r>
          </w:p>
        </w:tc>
        <w:tc>
          <w:tcPr>
            <w:tcW w:type="dxa" w:w="2130"/>
            <w:tcBorders>
              <w:start w:sz="4.7999999999999545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Industry code</w:t>
            </w:r>
          </w:p>
        </w:tc>
        <w:tc>
          <w:tcPr>
            <w:tcW w:type="dxa" w:w="1948"/>
            <w:tcBorders>
              <w:start w:sz="4.7999999999999545" w:val="single" w:color="#C7CCD0"/>
              <w:top w:sz="4.7999999999999545" w:val="single" w:color="#C7CCD0"/>
              <w:end w:sz="4.0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408"/>
            <w:tcBorders>
              <w:start w:sz="4.0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Industry name</w:t>
            </w:r>
          </w:p>
        </w:tc>
        <w:tc>
          <w:tcPr>
            <w:tcW w:type="dxa" w:w="2044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86"/>
        </w:trPr>
        <w:tc>
          <w:tcPr>
            <w:tcW w:type="dxa" w:w="2190"/>
            <w:vMerge w:val="restart"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Contact information</w:t>
            </w:r>
          </w:p>
        </w:tc>
        <w:tc>
          <w:tcPr>
            <w:tcW w:type="dxa" w:w="2130"/>
            <w:tcBorders>
              <w:start w:sz="4.7999999999999545" w:val="single" w:color="#C7CCD0"/>
              <w:top w:sz="4.7999999999999545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Name</w:t>
            </w:r>
          </w:p>
        </w:tc>
        <w:tc>
          <w:tcPr>
            <w:tcW w:type="dxa" w:w="1948"/>
            <w:tcBorders>
              <w:start w:sz="4.7999999999999545" w:val="single" w:color="#C7CCD0"/>
              <w:top w:sz="4.7999999999999545" w:val="single" w:color="#C7CCD0"/>
              <w:end w:sz="4.0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408"/>
            <w:tcBorders>
              <w:start w:sz="4.0" w:val="single" w:color="#C7CCD0"/>
              <w:top w:sz="4.7999999999999545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Office phone number</w:t>
            </w:r>
          </w:p>
        </w:tc>
        <w:tc>
          <w:tcPr>
            <w:tcW w:type="dxa" w:w="2044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86"/>
        </w:trPr>
        <w:tc>
          <w:tcPr>
            <w:tcW w:type="dxa" w:w="2314"/>
            <w:vMerge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2130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Mobile phone number</w:t>
            </w:r>
          </w:p>
        </w:tc>
        <w:tc>
          <w:tcPr>
            <w:tcW w:type="dxa" w:w="1948"/>
            <w:tcBorders>
              <w:start w:sz="4.7999999999999545" w:val="single" w:color="#C7CCD0"/>
              <w:top w:sz="4.800000000000182" w:val="single" w:color="#C7CCD0"/>
              <w:end w:sz="4.0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408"/>
            <w:tcBorders>
              <w:start w:sz="4.0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Email Address</w:t>
            </w:r>
          </w:p>
        </w:tc>
        <w:tc>
          <w:tcPr>
            <w:tcW w:type="dxa" w:w="204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5784"/>
        <w:gridCol w:w="5784"/>
      </w:tblGrid>
      <w:tr>
        <w:trPr>
          <w:trHeight w:hRule="exact" w:val="686"/>
        </w:trPr>
        <w:tc>
          <w:tcPr>
            <w:tcW w:type="dxa" w:w="10720"/>
            <w:gridSpan w:val="2"/>
            <w:tcBorders>
              <w:start w:sz="4.800000000000011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GHG Inventory and Verification Information</w:t>
            </w:r>
          </w:p>
        </w:tc>
      </w:tr>
      <w:tr>
        <w:trPr>
          <w:trHeight w:hRule="exact" w:val="456"/>
        </w:trPr>
        <w:tc>
          <w:tcPr>
            <w:tcW w:type="dxa" w:w="3814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The reason to do GHG report</w:t>
            </w:r>
          </w:p>
        </w:tc>
        <w:tc>
          <w:tcPr>
            <w:tcW w:type="dxa" w:w="690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58"/>
        </w:trPr>
        <w:tc>
          <w:tcPr>
            <w:tcW w:type="dxa" w:w="3814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6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GHG Inventory based on specifications</w:t>
            </w:r>
          </w:p>
        </w:tc>
        <w:tc>
          <w:tcPr>
            <w:tcW w:type="dxa" w:w="690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58"/>
        </w:trPr>
        <w:tc>
          <w:tcPr>
            <w:tcW w:type="dxa" w:w="3814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Has it been verified by a third party?</w:t>
            </w:r>
          </w:p>
        </w:tc>
        <w:tc>
          <w:tcPr>
            <w:tcW w:type="dxa" w:w="690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56"/>
        </w:trPr>
        <w:tc>
          <w:tcPr>
            <w:tcW w:type="dxa" w:w="3814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Inspection agency name</w:t>
            </w:r>
          </w:p>
        </w:tc>
        <w:tc>
          <w:tcPr>
            <w:tcW w:type="dxa" w:w="690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2892"/>
        <w:gridCol w:w="2892"/>
        <w:gridCol w:w="2892"/>
        <w:gridCol w:w="2892"/>
      </w:tblGrid>
      <w:tr>
        <w:trPr>
          <w:trHeight w:hRule="exact" w:val="686"/>
        </w:trPr>
        <w:tc>
          <w:tcPr>
            <w:tcW w:type="dxa" w:w="10720"/>
            <w:gridSpan w:val="4"/>
            <w:tcBorders>
              <w:start w:sz="4.800000000000011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7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Threshold Setting</w:t>
            </w:r>
          </w:p>
        </w:tc>
      </w:tr>
      <w:tr>
        <w:trPr>
          <w:trHeight w:hRule="exact" w:val="458"/>
        </w:trPr>
        <w:tc>
          <w:tcPr>
            <w:tcW w:type="dxa" w:w="255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6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Significance threshold</w:t>
            </w:r>
          </w:p>
        </w:tc>
        <w:tc>
          <w:tcPr>
            <w:tcW w:type="dxa" w:w="3970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40"/>
            <w:tcBorders>
              <w:start w:sz="4.800000000000182" w:val="single" w:color="#C7CCD0"/>
              <w:top w:sz="4.800000000000182" w:val="single" w:color="#C7CCD0"/>
              <w:end w:sz="5.600000000000364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Description</w:t>
            </w:r>
          </w:p>
        </w:tc>
        <w:tc>
          <w:tcPr>
            <w:tcW w:type="dxa" w:w="2958"/>
            <w:tcBorders>
              <w:start w:sz="5.600000000000364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58"/>
        </w:trPr>
        <w:tc>
          <w:tcPr>
            <w:tcW w:type="dxa" w:w="2552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Materiality threshold</w:t>
            </w:r>
          </w:p>
        </w:tc>
        <w:tc>
          <w:tcPr>
            <w:tcW w:type="dxa" w:w="3970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40"/>
            <w:tcBorders>
              <w:start w:sz="4.800000000000182" w:val="single" w:color="#C7CCD0"/>
              <w:top w:sz="4.799999999999727" w:val="single" w:color="#C7CCD0"/>
              <w:end w:sz="5.600000000000364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Description</w:t>
            </w:r>
          </w:p>
        </w:tc>
        <w:tc>
          <w:tcPr>
            <w:tcW w:type="dxa" w:w="2958"/>
            <w:tcBorders>
              <w:start w:sz="5.600000000000364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56"/>
        </w:trPr>
        <w:tc>
          <w:tcPr>
            <w:tcW w:type="dxa" w:w="255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Exclusion threshold</w:t>
            </w:r>
          </w:p>
        </w:tc>
        <w:tc>
          <w:tcPr>
            <w:tcW w:type="dxa" w:w="3970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40"/>
            <w:tcBorders>
              <w:start w:sz="4.800000000000182" w:val="single" w:color="#C7CCD0"/>
              <w:top w:sz="4.800000000000182" w:val="single" w:color="#C7CCD0"/>
              <w:end w:sz="5.600000000000364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Description</w:t>
            </w:r>
          </w:p>
        </w:tc>
        <w:tc>
          <w:tcPr>
            <w:tcW w:type="dxa" w:w="2958"/>
            <w:tcBorders>
              <w:start w:sz="5.600000000000364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58"/>
        </w:trPr>
        <w:tc>
          <w:tcPr>
            <w:tcW w:type="dxa" w:w="255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Remark</w:t>
            </w:r>
          </w:p>
        </w:tc>
        <w:tc>
          <w:tcPr>
            <w:tcW w:type="dxa" w:w="8168"/>
            <w:gridSpan w:val="3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97" w:lineRule="auto" w:before="842" w:after="0"/>
        <w:ind w:left="288" w:right="0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>4. Base-year GHG inventory</w:t>
      </w:r>
    </w:p>
    <w:p>
      <w:pPr>
        <w:autoSpaceDN w:val="0"/>
        <w:autoSpaceDE w:val="0"/>
        <w:widowControl/>
        <w:spacing w:line="245" w:lineRule="auto" w:before="310" w:after="0"/>
        <w:ind w:left="288" w:right="288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Evercomm Taiwan Pte Ltd’s baseline year reporting period for which reliable and verifiable data are available is (5-Apr-2024 to 5-Apr-2024).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The GHG emissions since the base-year are summarized in Table 2 below, on a year-on-year basis.</w:t>
      </w:r>
    </w:p>
    <w:p>
      <w:pPr>
        <w:autoSpaceDN w:val="0"/>
        <w:autoSpaceDE w:val="0"/>
        <w:widowControl/>
        <w:spacing w:line="197" w:lineRule="auto" w:before="290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Evercomm Taiwan Pte Ltd's Absolute Greenhouse Gas Emission Profile</w:t>
      </w: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444" w:after="60"/>
        <w:ind w:left="1676" w:right="0" w:firstLine="0"/>
        <w:jc w:val="left"/>
      </w:pPr>
      <w:r>
        <w:rPr>
          <w:w w:val="101.80288461538463"/>
          <w:rFonts w:ascii="Arial" w:hAnsi="Arial" w:eastAsia="Arial"/>
          <w:b w:val="0"/>
          <w:i w:val="0"/>
          <w:color w:val="373C3F"/>
          <w:sz w:val="13"/>
        </w:rPr>
        <w:t>1800000.00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00.0" w:type="dxa"/>
      </w:tblPr>
      <w:tblGrid>
        <w:gridCol w:w="1653"/>
        <w:gridCol w:w="1653"/>
        <w:gridCol w:w="1653"/>
        <w:gridCol w:w="1653"/>
        <w:gridCol w:w="1653"/>
        <w:gridCol w:w="1653"/>
        <w:gridCol w:w="1653"/>
      </w:tblGrid>
      <w:tr>
        <w:trPr>
          <w:trHeight w:hRule="exact" w:val="388"/>
        </w:trPr>
        <w:tc>
          <w:tcPr>
            <w:tcW w:type="dxa" w:w="920"/>
            <w:vMerge w:val="restart"/>
            <w:tcBorders>
              <w:bottom w:sz="4.8125" w:val="single" w:color="#DFDFDF"/>
            </w:tcBorders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20" w:after="0"/>
              <w:ind w:left="0" w:right="0" w:firstLine="0"/>
              <w:jc w:val="center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sion (kgCO</w:t>
            </w:r>
            <w:r>
              <w:rPr>
                <w:w w:val="101.80288461538463"/>
                <w:rFonts w:ascii="Times New Roman" w:hAnsi="Times New Roman" w:eastAsia="Times New Roman"/>
                <w:b w:val="0"/>
                <w:i w:val="0"/>
                <w:color w:val="373C3F"/>
                <w:sz w:val="13"/>
              </w:rPr>
              <w:t>₂</w:t>
            </w: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-e)</w:t>
            </w:r>
          </w:p>
        </w:tc>
        <w:tc>
          <w:tcPr>
            <w:tcW w:type="dxa" w:w="8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6" w:after="0"/>
              <w:ind w:left="0" w:right="0" w:firstLine="0"/>
              <w:jc w:val="center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1600000.00</w:t>
            </w:r>
          </w:p>
        </w:tc>
        <w:tc>
          <w:tcPr>
            <w:tcW w:type="dxa" w:w="7562"/>
            <w:gridSpan w:val="5"/>
            <w:vMerge w:val="restart"/>
            <w:tcBorders>
              <w:bottom w:sz="4.8125" w:val="single" w:color="#DFDFDF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20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/>
                <w:i w:val="0"/>
                <w:color w:val="FFFFFF"/>
                <w:sz w:val="14"/>
              </w:rPr>
              <w:t>701208.97</w:t>
            </w:r>
          </w:p>
        </w:tc>
      </w:tr>
      <w:tr>
        <w:trPr>
          <w:trHeight w:hRule="exact" w:val="360"/>
        </w:trPr>
        <w:tc>
          <w:tcPr>
            <w:tcW w:type="dxa" w:w="1653"/>
            <w:vMerge/>
            <w:tcBorders>
              <w:bottom w:sz="4.8125" w:val="single" w:color="#DFDFDF"/>
            </w:tcBorders>
          </w:tcPr>
          <w:p/>
        </w:tc>
        <w:tc>
          <w:tcPr>
            <w:tcW w:type="dxa" w:w="8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2" w:after="0"/>
              <w:ind w:left="0" w:right="0" w:firstLine="0"/>
              <w:jc w:val="center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1400000.00</w:t>
            </w:r>
          </w:p>
        </w:tc>
        <w:tc>
          <w:tcPr>
            <w:tcW w:type="dxa" w:w="8265"/>
            <w:gridSpan w:val="5"/>
            <w:vMerge/>
            <w:tcBorders>
              <w:bottom w:sz="4.8125" w:val="single" w:color="#DFDFDF"/>
            </w:tcBorders>
          </w:tcPr>
          <w:p/>
        </w:tc>
      </w:tr>
      <w:tr>
        <w:trPr>
          <w:trHeight w:hRule="exact" w:val="204"/>
        </w:trPr>
        <w:tc>
          <w:tcPr>
            <w:tcW w:type="dxa" w:w="1653"/>
            <w:vMerge/>
            <w:tcBorders>
              <w:bottom w:sz="4.8125" w:val="single" w:color="#DFDFDF"/>
            </w:tcBorders>
          </w:tcPr>
          <w:p/>
        </w:tc>
        <w:tc>
          <w:tcPr>
            <w:tcW w:type="dxa" w:w="870"/>
            <w:tcBorders>
              <w:bottom w:sz="4.8125" w:val="single" w:color="#DFDFDF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0" w:right="0" w:firstLine="0"/>
              <w:jc w:val="center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1200000.00</w:t>
            </w:r>
          </w:p>
        </w:tc>
        <w:tc>
          <w:tcPr>
            <w:tcW w:type="dxa" w:w="8265"/>
            <w:gridSpan w:val="5"/>
            <w:vMerge/>
            <w:tcBorders>
              <w:bottom w:sz="4.8125" w:val="single" w:color="#DFDFDF"/>
            </w:tcBorders>
          </w:tcPr>
          <w:p/>
        </w:tc>
      </w:tr>
      <w:tr>
        <w:trPr>
          <w:trHeight w:hRule="exact" w:val="136"/>
        </w:trPr>
        <w:tc>
          <w:tcPr>
            <w:tcW w:type="dxa" w:w="920"/>
            <w:vMerge w:val="restart"/>
            <w:tcBorders>
              <w:top w:sz="4.8125" w:val="single" w:color="#DFDFDF"/>
            </w:tcBorders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20" w:after="0"/>
              <w:ind w:left="0" w:right="0" w:firstLine="0"/>
              <w:jc w:val="center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 xml:space="preserve"> Gas Emis</w:t>
            </w:r>
          </w:p>
        </w:tc>
        <w:tc>
          <w:tcPr>
            <w:tcW w:type="dxa" w:w="870"/>
            <w:tcBorders>
              <w:top w:sz="4.8125" w:val="single" w:color="#DFDFDF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7562"/>
            <w:gridSpan w:val="5"/>
            <w:vMerge w:val="restart"/>
            <w:tcBorders>
              <w:top w:sz="4.8125" w:val="single" w:color="#DFDFDF"/>
              <w:bottom w:sz="4.8125" w:val="single" w:color="#DFDFDF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70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/>
                <w:i w:val="0"/>
                <w:color w:val="FFFFFF"/>
                <w:sz w:val="14"/>
              </w:rPr>
              <w:t>98678</w:t>
            </w:r>
          </w:p>
        </w:tc>
      </w:tr>
      <w:tr>
        <w:trPr>
          <w:trHeight w:hRule="exact" w:val="476"/>
        </w:trPr>
        <w:tc>
          <w:tcPr>
            <w:tcW w:type="dxa" w:w="1653"/>
            <w:vMerge/>
            <w:tcBorders>
              <w:top w:sz="4.8125" w:val="single" w:color="#DFDFDF"/>
            </w:tcBorders>
          </w:tcPr>
          <w:p/>
        </w:tc>
        <w:tc>
          <w:tcPr>
            <w:tcW w:type="dxa" w:w="8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0" w:right="0" w:firstLine="0"/>
              <w:jc w:val="center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1000000.00</w:t>
            </w:r>
          </w:p>
        </w:tc>
        <w:tc>
          <w:tcPr>
            <w:tcW w:type="dxa" w:w="8265"/>
            <w:gridSpan w:val="5"/>
            <w:vMerge/>
            <w:tcBorders>
              <w:top w:sz="4.8125" w:val="single" w:color="#DFDFDF"/>
              <w:bottom w:sz="4.8125" w:val="single" w:color="#DFDFDF"/>
            </w:tcBorders>
          </w:tcPr>
          <w:p/>
        </w:tc>
      </w:tr>
      <w:tr>
        <w:trPr>
          <w:trHeight w:hRule="exact" w:val="96"/>
        </w:trPr>
        <w:tc>
          <w:tcPr>
            <w:tcW w:type="dxa" w:w="920"/>
            <w:tcBorders>
              <w:bottom w:sz="4.8125" w:val="single" w:color="#DFDFDF"/>
            </w:tcBorders>
            <w:shd w:fill="ffffff"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auto" w:before="720" w:after="0"/>
              <w:ind w:left="0" w:right="0" w:firstLine="0"/>
              <w:jc w:val="center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se</w:t>
            </w:r>
          </w:p>
        </w:tc>
        <w:tc>
          <w:tcPr>
            <w:tcW w:type="dxa" w:w="870"/>
            <w:tcBorders>
              <w:bottom w:sz="4.8125" w:val="single" w:color="#DFDFDF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800000.00</w:t>
            </w:r>
          </w:p>
        </w:tc>
        <w:tc>
          <w:tcPr>
            <w:tcW w:type="dxa" w:w="8265"/>
            <w:gridSpan w:val="5"/>
            <w:vMerge/>
            <w:tcBorders>
              <w:top w:sz="4.8125" w:val="single" w:color="#DFDFDF"/>
              <w:bottom w:sz="4.8125" w:val="single" w:color="#DFDFDF"/>
            </w:tcBorders>
          </w:tcPr>
          <w:p/>
        </w:tc>
      </w:tr>
      <w:tr>
        <w:trPr>
          <w:trHeight w:hRule="exact" w:val="148"/>
        </w:trPr>
        <w:tc>
          <w:tcPr>
            <w:tcW w:type="dxa" w:w="920"/>
            <w:vMerge w:val="restart"/>
            <w:tcBorders>
              <w:top w:sz="4.8125" w:val="single" w:color="#DFDFDF"/>
              <w:bottom w:sz="4.8125" w:val="single" w:color="#DFDFDF"/>
            </w:tcBorders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20" w:after="0"/>
              <w:ind w:left="0" w:right="0" w:firstLine="0"/>
              <w:jc w:val="center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bsolute Greenhou</w:t>
            </w:r>
          </w:p>
        </w:tc>
        <w:tc>
          <w:tcPr>
            <w:tcW w:type="dxa" w:w="870"/>
            <w:tcBorders>
              <w:top w:sz="4.8125" w:val="single" w:color="#DFDFDF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7562"/>
            <w:gridSpan w:val="5"/>
            <w:vMerge w:val="restart"/>
            <w:tcBorders>
              <w:top w:sz="4.8125" w:val="single" w:color="#DFDFDF"/>
              <w:bottom w:sz="4.8125" w:val="single" w:color="#DFDFDF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6" w:after="0"/>
              <w:ind w:left="0" w:right="0" w:firstLine="0"/>
              <w:jc w:val="center"/>
            </w:pPr>
            <w:r>
              <w:rPr>
                <w:shd w:val="clear" w:color="auto" w:fill="333f4f"/>
                <w:w w:val="103.125"/>
                <w:rFonts w:ascii="Arial" w:hAnsi="Arial" w:eastAsia="Arial"/>
                <w:b/>
                <w:i w:val="0"/>
                <w:color w:val="FFFFFF"/>
                <w:sz w:val="14"/>
              </w:rPr>
              <w:t>853739.91</w:t>
            </w:r>
          </w:p>
        </w:tc>
      </w:tr>
      <w:tr>
        <w:trPr>
          <w:trHeight w:hRule="exact" w:val="360"/>
        </w:trPr>
        <w:tc>
          <w:tcPr>
            <w:tcW w:type="dxa" w:w="1653"/>
            <w:vMerge/>
            <w:tcBorders>
              <w:top w:sz="4.8125" w:val="single" w:color="#DFDFDF"/>
              <w:bottom w:sz="4.8125" w:val="single" w:color="#DFDFDF"/>
            </w:tcBorders>
          </w:tcPr>
          <w:p/>
        </w:tc>
        <w:tc>
          <w:tcPr>
            <w:tcW w:type="dxa" w:w="8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0" w:after="0"/>
              <w:ind w:left="0" w:right="0" w:firstLine="0"/>
              <w:jc w:val="center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600000.00</w:t>
            </w:r>
          </w:p>
        </w:tc>
        <w:tc>
          <w:tcPr>
            <w:tcW w:type="dxa" w:w="8265"/>
            <w:gridSpan w:val="5"/>
            <w:vMerge/>
            <w:tcBorders>
              <w:top w:sz="4.8125" w:val="single" w:color="#DFDFDF"/>
              <w:bottom w:sz="4.8125" w:val="single" w:color="#DFDFDF"/>
            </w:tcBorders>
          </w:tcPr>
          <w:p/>
        </w:tc>
      </w:tr>
      <w:tr>
        <w:trPr>
          <w:trHeight w:hRule="exact" w:val="340"/>
        </w:trPr>
        <w:tc>
          <w:tcPr>
            <w:tcW w:type="dxa" w:w="1653"/>
            <w:vMerge/>
            <w:tcBorders>
              <w:top w:sz="4.8125" w:val="single" w:color="#DFDFDF"/>
              <w:bottom w:sz="4.8125" w:val="single" w:color="#DFDFDF"/>
            </w:tcBorders>
          </w:tcPr>
          <w:p/>
        </w:tc>
        <w:tc>
          <w:tcPr>
            <w:tcW w:type="dxa" w:w="8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4" w:after="0"/>
              <w:ind w:left="0" w:right="0" w:firstLine="0"/>
              <w:jc w:val="center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400000.00</w:t>
            </w:r>
          </w:p>
        </w:tc>
        <w:tc>
          <w:tcPr>
            <w:tcW w:type="dxa" w:w="8265"/>
            <w:gridSpan w:val="5"/>
            <w:vMerge/>
            <w:tcBorders>
              <w:top w:sz="4.8125" w:val="single" w:color="#DFDFDF"/>
              <w:bottom w:sz="4.8125" w:val="single" w:color="#DFDFDF"/>
            </w:tcBorders>
          </w:tcPr>
          <w:p/>
        </w:tc>
      </w:tr>
      <w:tr>
        <w:trPr>
          <w:trHeight w:hRule="exact" w:val="214"/>
        </w:trPr>
        <w:tc>
          <w:tcPr>
            <w:tcW w:type="dxa" w:w="1653"/>
            <w:vMerge/>
            <w:tcBorders>
              <w:top w:sz="4.8125" w:val="single" w:color="#DFDFDF"/>
              <w:bottom w:sz="4.8125" w:val="single" w:color="#DFDFDF"/>
            </w:tcBorders>
          </w:tcPr>
          <w:p/>
        </w:tc>
        <w:tc>
          <w:tcPr>
            <w:tcW w:type="dxa" w:w="870"/>
            <w:tcBorders>
              <w:bottom w:sz="4.8125" w:val="single" w:color="#DFDFDF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200000.00</w:t>
            </w:r>
          </w:p>
        </w:tc>
        <w:tc>
          <w:tcPr>
            <w:tcW w:type="dxa" w:w="8265"/>
            <w:gridSpan w:val="5"/>
            <w:vMerge/>
            <w:tcBorders>
              <w:top w:sz="4.8125" w:val="single" w:color="#DFDFDF"/>
              <w:bottom w:sz="4.8125" w:val="single" w:color="#DFDFDF"/>
            </w:tcBorders>
          </w:tcPr>
          <w:p/>
        </w:tc>
      </w:tr>
      <w:tr>
        <w:trPr>
          <w:trHeight w:hRule="exact" w:val="146"/>
        </w:trPr>
        <w:tc>
          <w:tcPr>
            <w:tcW w:type="dxa" w:w="920"/>
            <w:vMerge w:val="restart"/>
            <w:tcBorders>
              <w:top w:sz="4.8125" w:val="single" w:color="#DFDFDF"/>
            </w:tcBorders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20" w:after="0"/>
              <w:ind w:left="0" w:right="0" w:firstLine="0"/>
              <w:jc w:val="right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A</w:t>
            </w:r>
          </w:p>
        </w:tc>
        <w:tc>
          <w:tcPr>
            <w:tcW w:type="dxa" w:w="870"/>
            <w:tcBorders>
              <w:top w:sz="4.8125" w:val="single" w:color="#DFDFDF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7562"/>
            <w:gridSpan w:val="5"/>
            <w:vMerge w:val="restart"/>
            <w:tcBorders>
              <w:top w:sz="4.8125" w:val="single" w:color="#DFDFDF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2521"/>
              <w:gridCol w:w="2521"/>
              <w:gridCol w:w="2521"/>
            </w:tblGrid>
            <w:tr>
              <w:trPr>
                <w:trHeight w:hRule="exact" w:val="28"/>
              </w:trPr>
              <w:tc>
                <w:tcPr>
                  <w:tcW w:type="dxa" w:w="7550"/>
                  <w:gridSpan w:val="3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10"/>
        </w:trPr>
        <w:tc>
          <w:tcPr>
            <w:tcW w:type="dxa" w:w="1653"/>
            <w:vMerge/>
            <w:tcBorders>
              <w:top w:sz="4.8125" w:val="single" w:color="#DFDFDF"/>
            </w:tcBorders>
          </w:tcPr>
          <w:p/>
        </w:tc>
        <w:tc>
          <w:tcPr>
            <w:tcW w:type="dxa" w:w="8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2" w:after="0"/>
              <w:ind w:left="0" w:right="116" w:firstLine="0"/>
              <w:jc w:val="right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0.00</w:t>
            </w:r>
          </w:p>
        </w:tc>
        <w:tc>
          <w:tcPr>
            <w:tcW w:type="dxa" w:w="8265"/>
            <w:gridSpan w:val="5"/>
            <w:vMerge/>
            <w:tcBorders>
              <w:top w:sz="4.8125" w:val="single" w:color="#DFDFDF"/>
            </w:tcBorders>
          </w:tcPr>
          <w:p/>
        </w:tc>
      </w:tr>
      <w:tr>
        <w:trPr>
          <w:trHeight w:hRule="exact" w:val="70"/>
        </w:trPr>
        <w:tc>
          <w:tcPr>
            <w:tcW w:type="dxa" w:w="9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7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265"/>
            <w:gridSpan w:val="5"/>
            <w:vMerge/>
            <w:tcBorders>
              <w:top w:sz="4.8125" w:val="single" w:color="#DFDFDF"/>
            </w:tcBorders>
          </w:tcPr>
          <w:p/>
        </w:tc>
      </w:tr>
      <w:tr>
        <w:trPr>
          <w:trHeight w:hRule="exact" w:val="320"/>
        </w:trPr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  <w:tc>
          <w:tcPr>
            <w:tcW w:type="dxa" w:w="315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0" w:after="0"/>
              <w:ind w:left="0" w:right="1728" w:firstLine="0"/>
              <w:jc w:val="righ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2022</w:t>
            </w:r>
          </w:p>
        </w:tc>
        <w:tc>
          <w:tcPr>
            <w:tcW w:type="dxa" w:w="125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0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2023</w:t>
            </w:r>
          </w:p>
        </w:tc>
        <w:tc>
          <w:tcPr>
            <w:tcW w:type="dxa" w:w="31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0" w:after="0"/>
              <w:ind w:left="0" w:right="1104" w:firstLine="0"/>
              <w:jc w:val="righ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2024</w:t>
            </w:r>
          </w:p>
        </w:tc>
      </w:tr>
      <w:tr>
        <w:trPr>
          <w:trHeight w:hRule="exact" w:val="78"/>
        </w:trPr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  <w:tc>
          <w:tcPr>
            <w:tcW w:type="dxa" w:w="292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8" w:after="0"/>
              <w:ind w:left="0" w:right="114" w:firstLine="0"/>
              <w:jc w:val="righ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Scope 1</w:t>
            </w:r>
          </w:p>
        </w:tc>
        <w:tc>
          <w:tcPr>
            <w:tcW w:type="dxa" w:w="98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652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8" w:after="0"/>
              <w:ind w:left="30" w:right="0" w:firstLine="0"/>
              <w:jc w:val="lef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Scope 3</w:t>
            </w:r>
          </w:p>
        </w:tc>
      </w:tr>
      <w:tr>
        <w:trPr>
          <w:trHeight w:hRule="exact" w:val="144"/>
        </w:trPr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87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653"/>
            <w:vMerge/>
            <w:tcBorders/>
          </w:tcPr>
          <w:p/>
        </w:tc>
        <w:tc>
          <w:tcPr>
            <w:tcW w:type="dxa" w:w="98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186" w:right="0" w:firstLine="0"/>
              <w:jc w:val="lef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Scope 2</w:t>
            </w:r>
          </w:p>
        </w:tc>
        <w:tc>
          <w:tcPr>
            <w:tcW w:type="dxa" w:w="3306"/>
            <w:gridSpan w:val="2"/>
            <w:vMerge/>
            <w:tcBorders/>
          </w:tcPr>
          <w:p/>
        </w:tc>
      </w:tr>
      <w:tr>
        <w:trPr>
          <w:trHeight w:hRule="exact" w:val="68"/>
        </w:trPr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87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653"/>
            <w:vMerge/>
            <w:tcBorders/>
          </w:tcPr>
          <w:p/>
        </w:tc>
        <w:tc>
          <w:tcPr>
            <w:tcW w:type="dxa" w:w="98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30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7" w:lineRule="auto" w:before="25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16"/>
        </w:rPr>
        <w:t>Table 2: Evercomm Taiwan Pte Ltd's GHG emission profile since base-year</w:t>
      </w:r>
    </w:p>
    <w:p>
      <w:pPr>
        <w:autoSpaceDN w:val="0"/>
        <w:autoSpaceDE w:val="0"/>
        <w:widowControl/>
        <w:spacing w:line="331" w:lineRule="auto" w:before="1006" w:after="0"/>
        <w:ind w:left="288" w:right="1584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 xml:space="preserve">5. Changes in Base-year GHG Inventory Calculation </w:t>
      </w:r>
      <w:r>
        <w:br/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There were </w:t>
      </w: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no significant changes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 in Evercomm Taiwan Pte Ltd’s base-year GHG inventory as per the GHG Protocol such as:</w:t>
      </w:r>
    </w:p>
    <w:p>
      <w:pPr>
        <w:autoSpaceDN w:val="0"/>
        <w:autoSpaceDE w:val="0"/>
        <w:widowControl/>
        <w:spacing w:line="197" w:lineRule="auto" w:before="302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1. Structural changes in Evercomm Taiwan Pte Ltd.</w:t>
      </w:r>
    </w:p>
    <w:p>
      <w:pPr>
        <w:autoSpaceDN w:val="0"/>
        <w:autoSpaceDE w:val="0"/>
        <w:widowControl/>
        <w:spacing w:line="199" w:lineRule="auto" w:before="324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2. Changes in calculation methodology or improvements in the accuracy of emission factors or activity data.</w:t>
      </w:r>
    </w:p>
    <w:p>
      <w:pPr>
        <w:autoSpaceDN w:val="0"/>
        <w:autoSpaceDE w:val="0"/>
        <w:widowControl/>
        <w:spacing w:line="197" w:lineRule="auto" w:before="324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3. Discovery of errors in data or emission factors.</w:t>
      </w:r>
    </w:p>
    <w:p>
      <w:pPr>
        <w:autoSpaceDN w:val="0"/>
        <w:autoSpaceDE w:val="0"/>
        <w:widowControl/>
        <w:spacing w:line="348" w:lineRule="auto" w:before="734" w:after="0"/>
        <w:ind w:left="288" w:right="432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 xml:space="preserve">6. Organizational Boundaries </w:t>
      </w:r>
      <w:r>
        <w:br/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Evercomm Taiwan Pte Ltd’s organizational boundaries are shown as per Figure 1 below. For disclosure purpose of reporting year (1-Jan-</w:t>
      </w:r>
    </w:p>
    <w:p>
      <w:pPr>
        <w:autoSpaceDN w:val="0"/>
        <w:autoSpaceDE w:val="0"/>
        <w:widowControl/>
        <w:spacing w:line="199" w:lineRule="auto" w:before="144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2022 to 31-Dec-2022), the Approach - operational is adopted to calculate the GHG emissions.</w:t>
      </w:r>
    </w:p>
    <w:p>
      <w:pPr>
        <w:autoSpaceDN w:val="0"/>
        <w:autoSpaceDE w:val="0"/>
        <w:widowControl/>
        <w:spacing w:line="240" w:lineRule="auto" w:before="674" w:after="8"/>
        <w:ind w:left="0" w:right="59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0800" cy="38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2314"/>
        <w:gridCol w:w="2314"/>
        <w:gridCol w:w="2314"/>
        <w:gridCol w:w="2314"/>
        <w:gridCol w:w="2314"/>
      </w:tblGrid>
      <w:tr>
        <w:trPr>
          <w:trHeight w:hRule="exact" w:val="454"/>
        </w:trPr>
        <w:tc>
          <w:tcPr>
            <w:tcW w:type="dxa" w:w="1120"/>
            <w:tcBorders>
              <w:bottom w:sz="4.8125" w:val="single" w:color="#202529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856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0" w:right="2626" w:firstLine="0"/>
              <w:jc w:val="right"/>
            </w:pPr>
            <w:r>
              <w:rPr>
                <w:rFonts w:ascii="Segoe UI" w:hAnsi="Segoe UI" w:eastAsia="Segoe UI"/>
                <w:b/>
                <w:i w:val="0"/>
                <w:color w:val="202529"/>
                <w:sz w:val="24"/>
              </w:rPr>
              <w:t>Evercomm Taiwan Pte Ltd</w:t>
            </w:r>
          </w:p>
        </w:tc>
        <w:tc>
          <w:tcPr>
            <w:tcW w:type="dxa" w:w="1020"/>
            <w:tcBorders>
              <w:bottom w:sz="4.8125" w:val="single" w:color="#202529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400"/>
            <w:tcBorders>
              <w:bottom w:sz="4.8125" w:val="single" w:color="#202529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94"/>
        </w:trPr>
        <w:tc>
          <w:tcPr>
            <w:tcW w:type="dxa" w:w="1120"/>
            <w:vMerge w:val="restart"/>
            <w:tcBorders>
              <w:top w:sz="4.8125" w:val="single" w:color="#202529"/>
              <w:bottom w:sz="4.8125" w:val="single" w:color="#202529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628"/>
            <w:gridSpan w:val="2"/>
            <w:vMerge/>
            <w:tcBorders/>
          </w:tcPr>
          <w:p/>
        </w:tc>
        <w:tc>
          <w:tcPr>
            <w:tcW w:type="dxa" w:w="1020"/>
            <w:vMerge w:val="restart"/>
            <w:tcBorders>
              <w:top w:sz="4.8125" w:val="single" w:color="#202529"/>
              <w:bottom w:sz="4.8125" w:val="single" w:color="#202529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00"/>
            <w:vMerge w:val="restart"/>
            <w:tcBorders>
              <w:top w:sz="4.8125" w:val="single" w:color="#202529"/>
              <w:bottom w:sz="4.8125" w:val="single" w:color="#202529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94"/>
        </w:trPr>
        <w:tc>
          <w:tcPr>
            <w:tcW w:type="dxa" w:w="2314"/>
            <w:vMerge/>
            <w:tcBorders>
              <w:top w:sz="4.8125" w:val="single" w:color="#202529"/>
              <w:bottom w:sz="4.8125" w:val="single" w:color="#202529"/>
            </w:tcBorders>
          </w:tcPr>
          <w:p/>
        </w:tc>
        <w:tc>
          <w:tcPr>
            <w:tcW w:type="dxa" w:w="461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456.0" w:type="dxa"/>
            </w:tblPr>
            <w:tblGrid>
              <w:gridCol w:w="4610"/>
            </w:tblGrid>
            <w:tr>
              <w:trPr>
                <w:trHeight w:hRule="exact" w:val="474"/>
              </w:trPr>
              <w:tc>
                <w:tcPr>
                  <w:tcW w:type="dxa" w:w="2154"/>
                  <w:tcBorders/>
                  <w:shd w:fill="d0cdc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5" w:lineRule="auto" w:before="116" w:after="0"/>
                    <w:ind w:left="0" w:right="0" w:firstLine="0"/>
                    <w:jc w:val="center"/>
                  </w:pPr>
                  <w:r>
                    <w:rPr>
                      <w:w w:val="101.3157894736842"/>
                      <w:rFonts w:ascii="Microsoft YaHei" w:hAnsi="Microsoft YaHei" w:eastAsia="Microsoft YaHei"/>
                      <w:b/>
                      <w:i w:val="0"/>
                      <w:color w:val="595858"/>
                      <w:sz w:val="19"/>
                    </w:rPr>
                    <w:t>台北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95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2.00000000000045" w:type="dxa"/>
            </w:tblPr>
            <w:tblGrid>
              <w:gridCol w:w="3950"/>
            </w:tblGrid>
            <w:tr>
              <w:trPr>
                <w:trHeight w:hRule="exact" w:val="474"/>
              </w:trPr>
              <w:tc>
                <w:tcPr>
                  <w:tcW w:type="dxa" w:w="2154"/>
                  <w:tcBorders/>
                  <w:shd w:fill="d0cdc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5" w:lineRule="auto" w:before="116" w:after="0"/>
                    <w:ind w:left="0" w:right="0" w:firstLine="0"/>
                    <w:jc w:val="center"/>
                  </w:pPr>
                  <w:r>
                    <w:rPr>
                      <w:w w:val="101.3157894736842"/>
                      <w:rFonts w:ascii="Microsoft YaHei" w:hAnsi="Microsoft YaHei" w:eastAsia="Microsoft YaHei"/>
                      <w:b/>
                      <w:i w:val="0"/>
                      <w:color w:val="595858"/>
                      <w:sz w:val="19"/>
                    </w:rPr>
                    <w:t>台中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314"/>
            <w:vMerge/>
            <w:tcBorders>
              <w:top w:sz="4.8125" w:val="single" w:color="#202529"/>
              <w:bottom w:sz="4.8125" w:val="single" w:color="#202529"/>
            </w:tcBorders>
          </w:tcPr>
          <w:p/>
        </w:tc>
        <w:tc>
          <w:tcPr>
            <w:tcW w:type="dxa" w:w="2314"/>
            <w:vMerge/>
            <w:tcBorders>
              <w:top w:sz="4.8125" w:val="single" w:color="#202529"/>
              <w:bottom w:sz="4.8125" w:val="single" w:color="#202529"/>
            </w:tcBorders>
          </w:tcPr>
          <w:p/>
        </w:tc>
      </w:tr>
      <w:tr>
        <w:trPr>
          <w:trHeight w:hRule="exact" w:val="990"/>
        </w:trPr>
        <w:tc>
          <w:tcPr>
            <w:tcW w:type="dxa" w:w="1120"/>
            <w:tcBorders>
              <w:top w:sz="4.8125" w:val="single" w:color="#20252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4" w:after="0"/>
              <w:ind w:left="1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800" cy="508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5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57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Figure 1: Evercomm Taiwan Pte Ltd's organization structure for GHG emission reporting</w:t>
            </w:r>
          </w:p>
        </w:tc>
        <w:tc>
          <w:tcPr>
            <w:tcW w:type="dxa" w:w="1020"/>
            <w:tcBorders>
              <w:top w:sz="4.8125" w:val="single" w:color="#20252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4" w:after="0"/>
              <w:ind w:left="0" w:right="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50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0"/>
            <w:tcBorders>
              <w:top w:sz="4.8125" w:val="single" w:color="#20252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4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800" cy="381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7" w:lineRule="auto" w:before="1434" w:after="0"/>
        <w:ind w:left="288" w:right="0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>7. GHG Reporting Metholody Using NXMap</w:t>
      </w:r>
    </w:p>
    <w:p>
      <w:pPr>
        <w:autoSpaceDN w:val="0"/>
        <w:autoSpaceDE w:val="0"/>
        <w:widowControl/>
        <w:spacing w:line="240" w:lineRule="auto" w:before="586" w:after="0"/>
        <w:ind w:left="16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119370" cy="4279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427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48" w:lineRule="auto" w:before="866" w:after="0"/>
        <w:ind w:left="288" w:right="8640" w:firstLine="0"/>
        <w:jc w:val="center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 xml:space="preserve">8. Calculation Approach </w:t>
      </w:r>
      <w:r>
        <w:br/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Types of calculation approaches:</w:t>
      </w:r>
    </w:p>
    <w:p>
      <w:pPr>
        <w:autoSpaceDN w:val="0"/>
        <w:autoSpaceDE w:val="0"/>
        <w:widowControl/>
        <w:spacing w:line="199" w:lineRule="auto" w:before="324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1. Calculation of GHG emissions is through the application of documented emission factors (common)</w:t>
      </w:r>
    </w:p>
    <w:p>
      <w:pPr>
        <w:autoSpaceDN w:val="0"/>
        <w:autoSpaceDE w:val="0"/>
        <w:widowControl/>
        <w:spacing w:line="197" w:lineRule="auto" w:before="336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2. Direct measurement of GHG emissions by monitoring concentration and flow rate (uncommon)</w:t>
      </w:r>
    </w:p>
    <w:p>
      <w:pPr>
        <w:autoSpaceDN w:val="0"/>
        <w:autoSpaceDE w:val="0"/>
        <w:widowControl/>
        <w:spacing w:line="197" w:lineRule="auto" w:before="326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3. Calculation based on a mass balance or stoichiometric basis specific to a facility or process (uncommon)</w:t>
      </w:r>
    </w:p>
    <w:p>
      <w:pPr>
        <w:autoSpaceDN w:val="0"/>
        <w:autoSpaceDE w:val="0"/>
        <w:widowControl/>
        <w:spacing w:line="348" w:lineRule="auto" w:before="734" w:after="0"/>
        <w:ind w:left="288" w:right="8352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 xml:space="preserve">9. Calculation Tools Used </w:t>
      </w:r>
      <w:r>
        <w:br/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Types of calculation tools in NXMap:</w:t>
      </w:r>
    </w:p>
    <w:p>
      <w:pPr>
        <w:autoSpaceDN w:val="0"/>
        <w:autoSpaceDE w:val="0"/>
        <w:widowControl/>
        <w:spacing w:line="199" w:lineRule="auto" w:before="324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1. GHG Protocol: Cross-sector Tool</w:t>
      </w:r>
    </w:p>
    <w:p>
      <w:pPr>
        <w:autoSpaceDN w:val="0"/>
        <w:autoSpaceDE w:val="0"/>
        <w:widowControl/>
        <w:spacing w:line="197" w:lineRule="auto" w:before="336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2. GHG Protocol: Sector-specific Tools</w:t>
      </w:r>
    </w:p>
    <w:p>
      <w:pPr>
        <w:autoSpaceDN w:val="0"/>
        <w:autoSpaceDE w:val="0"/>
        <w:widowControl/>
        <w:spacing w:line="197" w:lineRule="auto" w:before="326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3. Combination of (1) and (2).</w:t>
      </w:r>
    </w:p>
    <w:p>
      <w:pPr>
        <w:autoSpaceDN w:val="0"/>
        <w:autoSpaceDE w:val="0"/>
        <w:widowControl/>
        <w:spacing w:line="348" w:lineRule="auto" w:before="734" w:after="0"/>
        <w:ind w:left="288" w:right="720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 xml:space="preserve">10. Materiality Assessment Table </w:t>
      </w:r>
      <w:r>
        <w:br/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Table 3 below summarizes the relevant categories which are recommended to be disclosed based on NXMap®’s Materiality Assessment</w:t>
      </w:r>
    </w:p>
    <w:p>
      <w:pPr>
        <w:autoSpaceDN w:val="0"/>
        <w:autoSpaceDE w:val="0"/>
        <w:widowControl/>
        <w:spacing w:line="197" w:lineRule="auto" w:before="132" w:after="254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Scoring system.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52"/>
        <w:gridCol w:w="1052"/>
        <w:gridCol w:w="1052"/>
        <w:gridCol w:w="1052"/>
        <w:gridCol w:w="1052"/>
        <w:gridCol w:w="1052"/>
        <w:gridCol w:w="1052"/>
        <w:gridCol w:w="1052"/>
        <w:gridCol w:w="1052"/>
        <w:gridCol w:w="1052"/>
        <w:gridCol w:w="1052"/>
      </w:tblGrid>
      <w:tr>
        <w:trPr>
          <w:trHeight w:hRule="exact" w:val="4114"/>
        </w:trPr>
        <w:tc>
          <w:tcPr>
            <w:tcW w:type="dxa" w:w="494"/>
            <w:tcBorders>
              <w:start w:sz="4.800000000000011" w:val="single" w:color="#C7CCD0"/>
              <w:top w:sz="4.799999999999727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16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Emission Type</w:t>
            </w:r>
          </w:p>
        </w:tc>
        <w:tc>
          <w:tcPr>
            <w:tcW w:type="dxa" w:w="614"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9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Scope|Category</w:t>
            </w:r>
          </w:p>
        </w:tc>
        <w:tc>
          <w:tcPr>
            <w:tcW w:type="dxa" w:w="4416"/>
            <w:tcBorders>
              <w:start w:sz="4.800000000000068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212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Description</w:t>
            </w:r>
          </w:p>
        </w:tc>
        <w:tc>
          <w:tcPr>
            <w:tcW w:type="dxa" w:w="61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Compliance Requirement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22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Data Credibility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9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Risk</w:t>
            </w:r>
          </w:p>
        </w:tc>
        <w:tc>
          <w:tcPr>
            <w:tcW w:type="dxa" w:w="90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7" w:lineRule="auto" w:before="222" w:after="0"/>
              <w:ind w:left="288" w:right="288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Feasibility of implementation of reduction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measures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9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Occurrence frequency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Emission volume</w:t>
            </w:r>
          </w:p>
        </w:tc>
        <w:tc>
          <w:tcPr>
            <w:tcW w:type="dxa" w:w="61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Total Score</w:t>
            </w:r>
          </w:p>
        </w:tc>
        <w:tc>
          <w:tcPr>
            <w:tcW w:type="dxa" w:w="61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Disclosure Requirement</w:t>
            </w:r>
          </w:p>
        </w:tc>
      </w:tr>
      <w:tr>
        <w:trPr>
          <w:trHeight w:hRule="exact" w:val="446"/>
        </w:trPr>
        <w:tc>
          <w:tcPr>
            <w:tcW w:type="dxa" w:w="494"/>
            <w:vMerge w:val="restart"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Direct</w:t>
            </w:r>
          </w:p>
        </w:tc>
        <w:tc>
          <w:tcPr>
            <w:tcW w:type="dxa" w:w="614"/>
            <w:vMerge w:val="restart"/>
            <w:tcBorders>
              <w:start w:sz="4.800000000000011" w:val="single" w:color="#C7CCD0"/>
              <w:top w:sz="4.800000000000182" w:val="single" w:color="#C7CCD0"/>
              <w:end w:sz="4.800000000000068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09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1 | 1</w:t>
            </w:r>
          </w:p>
        </w:tc>
        <w:tc>
          <w:tcPr>
            <w:tcW w:type="dxa" w:w="4416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1.1 Stationary Combustion</w:t>
            </w:r>
          </w:p>
        </w:tc>
        <w:tc>
          <w:tcPr>
            <w:tcW w:type="dxa" w:w="61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YES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90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10</w:t>
            </w:r>
          </w:p>
        </w:tc>
        <w:tc>
          <w:tcPr>
            <w:tcW w:type="dxa" w:w="61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YES</w:t>
            </w:r>
          </w:p>
        </w:tc>
      </w:tr>
      <w:tr>
        <w:trPr>
          <w:trHeight w:hRule="exact" w:val="444"/>
        </w:trPr>
        <w:tc>
          <w:tcPr>
            <w:tcW w:type="dxa" w:w="1052"/>
            <w:vMerge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800000000000182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1.2 Mobile Combustion</w:t>
            </w:r>
          </w:p>
        </w:tc>
        <w:tc>
          <w:tcPr>
            <w:tcW w:type="dxa" w:w="61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YES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90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10</w:t>
            </w:r>
          </w:p>
        </w:tc>
        <w:tc>
          <w:tcPr>
            <w:tcW w:type="dxa" w:w="61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YES</w:t>
            </w:r>
          </w:p>
        </w:tc>
      </w:tr>
      <w:tr>
        <w:trPr>
          <w:trHeight w:hRule="exact" w:val="590"/>
        </w:trPr>
        <w:tc>
          <w:tcPr>
            <w:tcW w:type="dxa" w:w="1052"/>
            <w:vMerge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800000000000182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1.3 Direct GHG Emissions &amp; Removals from Industrial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Processes</w:t>
            </w:r>
          </w:p>
        </w:tc>
        <w:tc>
          <w:tcPr>
            <w:tcW w:type="dxa" w:w="61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YES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90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10</w:t>
            </w:r>
          </w:p>
        </w:tc>
        <w:tc>
          <w:tcPr>
            <w:tcW w:type="dxa" w:w="61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YES</w:t>
            </w:r>
          </w:p>
        </w:tc>
      </w:tr>
      <w:tr>
        <w:trPr>
          <w:trHeight w:hRule="exact" w:val="446"/>
        </w:trPr>
        <w:tc>
          <w:tcPr>
            <w:tcW w:type="dxa" w:w="1052"/>
            <w:vMerge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800000000000182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1.4 Fugitive Emissions</w:t>
            </w:r>
          </w:p>
        </w:tc>
        <w:tc>
          <w:tcPr>
            <w:tcW w:type="dxa" w:w="61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YES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90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10</w:t>
            </w:r>
          </w:p>
        </w:tc>
        <w:tc>
          <w:tcPr>
            <w:tcW w:type="dxa" w:w="61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YES</w:t>
            </w:r>
          </w:p>
        </w:tc>
      </w:tr>
      <w:tr>
        <w:trPr>
          <w:trHeight w:hRule="exact" w:val="424"/>
        </w:trPr>
        <w:tc>
          <w:tcPr>
            <w:tcW w:type="dxa" w:w="1052"/>
            <w:vMerge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800000000000182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1.5 Land Use, Land Use Change and Forestry (LULUCF)</w:t>
            </w:r>
          </w:p>
        </w:tc>
        <w:tc>
          <w:tcPr>
            <w:tcW w:type="dxa" w:w="612"/>
            <w:tcBorders>
              <w:start w:sz="4.799999999999727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902"/>
            <w:tcBorders>
              <w:start w:sz="4.799999999999727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799999999999727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2"/>
            <w:tcBorders>
              <w:start w:sz="4.800000000000182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52"/>
        <w:gridCol w:w="1052"/>
        <w:gridCol w:w="1052"/>
        <w:gridCol w:w="1052"/>
        <w:gridCol w:w="1052"/>
        <w:gridCol w:w="1052"/>
        <w:gridCol w:w="1052"/>
        <w:gridCol w:w="1052"/>
        <w:gridCol w:w="1052"/>
        <w:gridCol w:w="1052"/>
        <w:gridCol w:w="1052"/>
      </w:tblGrid>
      <w:tr>
        <w:trPr>
          <w:trHeight w:hRule="exact" w:val="4126"/>
        </w:trPr>
        <w:tc>
          <w:tcPr>
            <w:tcW w:type="dxa" w:w="494"/>
            <w:tcBorders>
              <w:start w:sz="4.800000000000011" w:val="single" w:color="#C7CCD0"/>
              <w:top w:sz="4.799999999999997" w:val="single" w:color="#C7CCD0"/>
              <w:end w:sz="4.800000000000011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16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Emission Type</w:t>
            </w:r>
          </w:p>
        </w:tc>
        <w:tc>
          <w:tcPr>
            <w:tcW w:type="dxa" w:w="614"/>
            <w:tcBorders>
              <w:start w:sz="4.800000000000011" w:val="single" w:color="#C7CCD0"/>
              <w:top w:sz="4.799999999999997" w:val="single" w:color="#C7CCD0"/>
              <w:end w:sz="4.800000000000068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9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Scope|Category</w:t>
            </w:r>
          </w:p>
        </w:tc>
        <w:tc>
          <w:tcPr>
            <w:tcW w:type="dxa" w:w="4416"/>
            <w:tcBorders>
              <w:start w:sz="4.800000000000068" w:val="single" w:color="#C7CCD0"/>
              <w:top w:sz="4.799999999999997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212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Description</w:t>
            </w:r>
          </w:p>
        </w:tc>
        <w:tc>
          <w:tcPr>
            <w:tcW w:type="dxa" w:w="612"/>
            <w:tcBorders>
              <w:start w:sz="4.799999999999727" w:val="single" w:color="#C7CCD0"/>
              <w:top w:sz="4.799999999999997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Compliance Requirement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997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22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Data Credibility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997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9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Risk</w:t>
            </w:r>
          </w:p>
        </w:tc>
        <w:tc>
          <w:tcPr>
            <w:tcW w:type="dxa" w:w="902"/>
            <w:tcBorders>
              <w:start w:sz="4.799999999999727" w:val="single" w:color="#C7CCD0"/>
              <w:top w:sz="4.799999999999997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7" w:lineRule="auto" w:before="222" w:after="0"/>
              <w:ind w:left="288" w:right="288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Feasibility of implementation of reduction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measures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997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9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Occurrence frequency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997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Emission volume</w:t>
            </w:r>
          </w:p>
        </w:tc>
        <w:tc>
          <w:tcPr>
            <w:tcW w:type="dxa" w:w="614"/>
            <w:tcBorders>
              <w:start w:sz="4.799999999999727" w:val="single" w:color="#C7CCD0"/>
              <w:top w:sz="4.799999999999997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Total Score</w:t>
            </w:r>
          </w:p>
        </w:tc>
        <w:tc>
          <w:tcPr>
            <w:tcW w:type="dxa" w:w="612"/>
            <w:tcBorders>
              <w:start w:sz="4.800000000000182" w:val="single" w:color="#C7CCD0"/>
              <w:top w:sz="4.799999999999997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7" w:lineRule="auto" w:before="22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Disclosure Requirement</w:t>
            </w:r>
          </w:p>
        </w:tc>
      </w:tr>
      <w:tr>
        <w:trPr>
          <w:trHeight w:hRule="exact" w:val="446"/>
        </w:trPr>
        <w:tc>
          <w:tcPr>
            <w:tcW w:type="dxa" w:w="494"/>
            <w:vMerge w:val="restart"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Indirect</w:t>
            </w:r>
          </w:p>
        </w:tc>
        <w:tc>
          <w:tcPr>
            <w:tcW w:type="dxa" w:w="614"/>
            <w:vMerge w:val="restart"/>
            <w:tcBorders>
              <w:start w:sz="4.800000000000011" w:val="single" w:color="#C7CCD0"/>
              <w:top w:sz="4.7999999999999545" w:val="single" w:color="#C7CCD0"/>
              <w:end w:sz="4.800000000000068" w:val="single" w:color="#C7CCD0"/>
              <w:bottom w:sz="4.0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5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2 | 2</w:t>
            </w:r>
          </w:p>
        </w:tc>
        <w:tc>
          <w:tcPr>
            <w:tcW w:type="dxa" w:w="4416"/>
            <w:tcBorders>
              <w:start w:sz="4.800000000000068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2.1 Imported Electricity</w:t>
            </w:r>
          </w:p>
        </w:tc>
        <w:tc>
          <w:tcPr>
            <w:tcW w:type="dxa" w:w="61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YES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90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10</w:t>
            </w:r>
          </w:p>
        </w:tc>
        <w:tc>
          <w:tcPr>
            <w:tcW w:type="dxa" w:w="612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YES</w:t>
            </w:r>
          </w:p>
        </w:tc>
      </w:tr>
      <w:tr>
        <w:trPr>
          <w:trHeight w:hRule="exact" w:val="444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68" w:val="single" w:color="#C7CCD0"/>
              <w:bottom w:sz="4.0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7999999999999545" w:val="single" w:color="#C7CCD0"/>
              <w:end w:sz="4.799999999999727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2.2 Imported Energy</w:t>
            </w:r>
          </w:p>
        </w:tc>
        <w:tc>
          <w:tcPr>
            <w:tcW w:type="dxa" w:w="61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YES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90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10</w:t>
            </w:r>
          </w:p>
        </w:tc>
        <w:tc>
          <w:tcPr>
            <w:tcW w:type="dxa" w:w="612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YES</w:t>
            </w:r>
          </w:p>
        </w:tc>
      </w:tr>
      <w:tr>
        <w:trPr>
          <w:trHeight w:hRule="exact" w:val="446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614"/>
            <w:vMerge w:val="restart"/>
            <w:tcBorders>
              <w:start w:sz="4.800000000000011" w:val="single" w:color="#C7CCD0"/>
              <w:top w:sz="4.0" w:val="single" w:color="#C7CCD0"/>
              <w:end w:sz="4.800000000000068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2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3 | 3</w:t>
            </w:r>
          </w:p>
        </w:tc>
        <w:tc>
          <w:tcPr>
            <w:tcW w:type="dxa" w:w="4416"/>
            <w:tcBorders>
              <w:start w:sz="4.800000000000068" w:val="single" w:color="#C7CCD0"/>
              <w:top w:sz="4.0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3.1 Upstream Transport and Distribution for Goods</w:t>
            </w:r>
          </w:p>
        </w:tc>
        <w:tc>
          <w:tcPr>
            <w:tcW w:type="dxa" w:w="612"/>
            <w:tcBorders>
              <w:start w:sz="4.799999999999727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4"/>
            <w:tcBorders>
              <w:start w:sz="4.800000000000182" w:val="single" w:color="#C7CCD0"/>
              <w:top w:sz="4.0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902"/>
            <w:tcBorders>
              <w:start w:sz="4.799999999999727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4"/>
            <w:tcBorders>
              <w:start w:sz="4.800000000000182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4"/>
            <w:tcBorders>
              <w:start w:sz="4.800000000000182" w:val="single" w:color="#C7CCD0"/>
              <w:top w:sz="4.0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4"/>
            <w:tcBorders>
              <w:start w:sz="4.799999999999727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25</w:t>
            </w:r>
          </w:p>
        </w:tc>
        <w:tc>
          <w:tcPr>
            <w:tcW w:type="dxa" w:w="612"/>
            <w:tcBorders>
              <w:start w:sz="4.800000000000182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446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0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3.2 Downstream Transport and Distribution for Goods</w:t>
            </w:r>
          </w:p>
        </w:tc>
        <w:tc>
          <w:tcPr>
            <w:tcW w:type="dxa" w:w="61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</w:t>
            </w:r>
          </w:p>
        </w:tc>
        <w:tc>
          <w:tcPr>
            <w:tcW w:type="dxa" w:w="90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444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0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3.3 Employee Commuting</w:t>
            </w:r>
          </w:p>
        </w:tc>
        <w:tc>
          <w:tcPr>
            <w:tcW w:type="dxa" w:w="61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90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1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18</w:t>
            </w:r>
          </w:p>
        </w:tc>
        <w:tc>
          <w:tcPr>
            <w:tcW w:type="dxa" w:w="61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446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0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3.4 Client and Visitor Transport</w:t>
            </w:r>
          </w:p>
        </w:tc>
        <w:tc>
          <w:tcPr>
            <w:tcW w:type="dxa" w:w="61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90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17</w:t>
            </w:r>
          </w:p>
        </w:tc>
        <w:tc>
          <w:tcPr>
            <w:tcW w:type="dxa" w:w="61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444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0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3.5 Business Travel</w:t>
            </w:r>
          </w:p>
        </w:tc>
        <w:tc>
          <w:tcPr>
            <w:tcW w:type="dxa" w:w="61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90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18</w:t>
            </w:r>
          </w:p>
        </w:tc>
        <w:tc>
          <w:tcPr>
            <w:tcW w:type="dxa" w:w="61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446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614"/>
            <w:vMerge w:val="restart"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1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3 | 4</w:t>
            </w:r>
          </w:p>
        </w:tc>
        <w:tc>
          <w:tcPr>
            <w:tcW w:type="dxa" w:w="4416"/>
            <w:tcBorders>
              <w:start w:sz="4.800000000000068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4.1 Goods Purchased by an Organization</w:t>
            </w:r>
          </w:p>
        </w:tc>
        <w:tc>
          <w:tcPr>
            <w:tcW w:type="dxa" w:w="61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90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61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16</w:t>
            </w:r>
          </w:p>
        </w:tc>
        <w:tc>
          <w:tcPr>
            <w:tcW w:type="dxa" w:w="61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90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4.2 Capital Goods that are Purchased and Amortized by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an Organization</w:t>
            </w:r>
          </w:p>
        </w:tc>
        <w:tc>
          <w:tcPr>
            <w:tcW w:type="dxa" w:w="61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</w:t>
            </w:r>
          </w:p>
        </w:tc>
        <w:tc>
          <w:tcPr>
            <w:tcW w:type="dxa" w:w="90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15</w:t>
            </w:r>
          </w:p>
        </w:tc>
        <w:tc>
          <w:tcPr>
            <w:tcW w:type="dxa" w:w="61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88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4.3 Disposal Services (of solid or liquid waste) Used by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an Organization</w:t>
            </w:r>
          </w:p>
        </w:tc>
        <w:tc>
          <w:tcPr>
            <w:tcW w:type="dxa" w:w="61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90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19</w:t>
            </w:r>
          </w:p>
        </w:tc>
        <w:tc>
          <w:tcPr>
            <w:tcW w:type="dxa" w:w="61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90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0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" w:after="0"/>
              <w:ind w:left="72" w:right="288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4.4 Use of Assets (through leased equipment) by an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Organization</w:t>
            </w:r>
          </w:p>
        </w:tc>
        <w:tc>
          <w:tcPr>
            <w:tcW w:type="dxa" w:w="612"/>
            <w:tcBorders>
              <w:start w:sz="4.799999999999727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0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902"/>
            <w:tcBorders>
              <w:start w:sz="4.799999999999727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614"/>
            <w:tcBorders>
              <w:start w:sz="4.800000000000182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0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799999999999727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17</w:t>
            </w:r>
          </w:p>
        </w:tc>
        <w:tc>
          <w:tcPr>
            <w:tcW w:type="dxa" w:w="612"/>
            <w:tcBorders>
              <w:start w:sz="4.800000000000182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90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288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4.5 Use of Services not Described in the above sub-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categories by an Organization</w:t>
            </w:r>
          </w:p>
        </w:tc>
        <w:tc>
          <w:tcPr>
            <w:tcW w:type="dxa" w:w="61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90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16</w:t>
            </w:r>
          </w:p>
        </w:tc>
        <w:tc>
          <w:tcPr>
            <w:tcW w:type="dxa" w:w="61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446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614"/>
            <w:vMerge w:val="restart"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9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3 | 5</w:t>
            </w:r>
          </w:p>
        </w:tc>
        <w:tc>
          <w:tcPr>
            <w:tcW w:type="dxa" w:w="4416"/>
            <w:tcBorders>
              <w:start w:sz="4.800000000000068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5.1 Use Stage of the Product</w:t>
            </w:r>
          </w:p>
        </w:tc>
        <w:tc>
          <w:tcPr>
            <w:tcW w:type="dxa" w:w="61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90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9</w:t>
            </w:r>
          </w:p>
        </w:tc>
        <w:tc>
          <w:tcPr>
            <w:tcW w:type="dxa" w:w="61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444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5.2 Downstream Leased Assets</w:t>
            </w:r>
          </w:p>
        </w:tc>
        <w:tc>
          <w:tcPr>
            <w:tcW w:type="dxa" w:w="61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90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19</w:t>
            </w:r>
          </w:p>
        </w:tc>
        <w:tc>
          <w:tcPr>
            <w:tcW w:type="dxa" w:w="61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446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5.3 End of Life Stage of the Product</w:t>
            </w:r>
          </w:p>
        </w:tc>
        <w:tc>
          <w:tcPr>
            <w:tcW w:type="dxa" w:w="61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90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61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12</w:t>
            </w:r>
          </w:p>
        </w:tc>
        <w:tc>
          <w:tcPr>
            <w:tcW w:type="dxa" w:w="61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444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52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4416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5.4 Investments</w:t>
            </w:r>
          </w:p>
        </w:tc>
        <w:tc>
          <w:tcPr>
            <w:tcW w:type="dxa" w:w="61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90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61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17</w:t>
            </w:r>
          </w:p>
        </w:tc>
        <w:tc>
          <w:tcPr>
            <w:tcW w:type="dxa" w:w="61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446"/>
        </w:trPr>
        <w:tc>
          <w:tcPr>
            <w:tcW w:type="dxa" w:w="1052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614"/>
            <w:tcBorders>
              <w:start w:sz="4.800000000000011" w:val="single" w:color="#C7CCD0"/>
              <w:top w:sz="4.800000000000182" w:val="single" w:color="#C7CCD0"/>
              <w:end w:sz="4.800000000000068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3 | 6</w:t>
            </w:r>
          </w:p>
        </w:tc>
        <w:tc>
          <w:tcPr>
            <w:tcW w:type="dxa" w:w="4416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6.1 GHG Emissions or Removals from Other Sources</w:t>
            </w:r>
          </w:p>
        </w:tc>
        <w:tc>
          <w:tcPr>
            <w:tcW w:type="dxa" w:w="61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90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1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14</w:t>
            </w:r>
          </w:p>
        </w:tc>
        <w:tc>
          <w:tcPr>
            <w:tcW w:type="dxa" w:w="61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</w:tbl>
    <w:p>
      <w:pPr>
        <w:autoSpaceDN w:val="0"/>
        <w:autoSpaceDE w:val="0"/>
        <w:widowControl/>
        <w:spacing w:line="197" w:lineRule="auto" w:before="482" w:after="0"/>
        <w:ind w:left="0" w:right="4286" w:firstLine="0"/>
        <w:jc w:val="righ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Table 3: Materiality Assessment Summary</w:t>
      </w:r>
    </w:p>
    <w:p>
      <w:pPr>
        <w:autoSpaceDN w:val="0"/>
        <w:autoSpaceDE w:val="0"/>
        <w:widowControl/>
        <w:spacing w:line="197" w:lineRule="auto" w:before="300" w:after="242"/>
        <w:ind w:left="288" w:right="0" w:firstLine="0"/>
        <w:jc w:val="left"/>
      </w:pP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Materiality Assessment Explanation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3856"/>
        <w:gridCol w:w="3856"/>
        <w:gridCol w:w="3856"/>
      </w:tblGrid>
      <w:tr>
        <w:trPr>
          <w:trHeight w:hRule="exact" w:val="444"/>
        </w:trPr>
        <w:tc>
          <w:tcPr>
            <w:tcW w:type="dxa" w:w="4560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Evaluation factor</w:t>
            </w:r>
          </w:p>
        </w:tc>
        <w:tc>
          <w:tcPr>
            <w:tcW w:type="dxa" w:w="5402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Scoring items</w:t>
            </w:r>
          </w:p>
        </w:tc>
        <w:tc>
          <w:tcPr>
            <w:tcW w:type="dxa" w:w="7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Score</w:t>
            </w:r>
          </w:p>
        </w:tc>
      </w:tr>
      <w:tr>
        <w:trPr>
          <w:trHeight w:hRule="exact" w:val="446"/>
        </w:trPr>
        <w:tc>
          <w:tcPr>
            <w:tcW w:type="dxa" w:w="4560"/>
            <w:vMerge w:val="restart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9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Data Credibility</w:t>
            </w:r>
          </w:p>
        </w:tc>
        <w:tc>
          <w:tcPr>
            <w:tcW w:type="dxa" w:w="5402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With supporting evidence from third party</w:t>
            </w:r>
          </w:p>
        </w:tc>
        <w:tc>
          <w:tcPr>
            <w:tcW w:type="dxa" w:w="7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</w:tr>
      <w:tr>
        <w:trPr>
          <w:trHeight w:hRule="exact" w:val="446"/>
        </w:trPr>
        <w:tc>
          <w:tcPr>
            <w:tcW w:type="dxa" w:w="3856"/>
            <w:vMerge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Internal finance or procurement system reports</w:t>
            </w:r>
          </w:p>
        </w:tc>
        <w:tc>
          <w:tcPr>
            <w:tcW w:type="dxa" w:w="7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</w:tr>
      <w:tr>
        <w:trPr>
          <w:trHeight w:hRule="exact" w:val="444"/>
        </w:trPr>
        <w:tc>
          <w:tcPr>
            <w:tcW w:type="dxa" w:w="3856"/>
            <w:vMerge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Relevant operation records that have been signed internally</w:t>
            </w:r>
          </w:p>
        </w:tc>
        <w:tc>
          <w:tcPr>
            <w:tcW w:type="dxa" w:w="7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</w:tr>
      <w:tr>
        <w:trPr>
          <w:trHeight w:hRule="exact" w:val="426"/>
        </w:trPr>
        <w:tc>
          <w:tcPr>
            <w:tcW w:type="dxa" w:w="3856"/>
            <w:vMerge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 records</w:t>
            </w:r>
          </w:p>
        </w:tc>
        <w:tc>
          <w:tcPr>
            <w:tcW w:type="dxa" w:w="7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3856"/>
        <w:gridCol w:w="3856"/>
        <w:gridCol w:w="3856"/>
      </w:tblGrid>
      <w:tr>
        <w:trPr>
          <w:trHeight w:hRule="exact" w:val="446"/>
        </w:trPr>
        <w:tc>
          <w:tcPr>
            <w:tcW w:type="dxa" w:w="4560"/>
            <w:tcBorders>
              <w:start w:sz="4.800000000000011" w:val="single" w:color="#C7CCD0"/>
              <w:top w:sz="4.799999999999997" w:val="single" w:color="#C7CCD0"/>
              <w:end w:sz="4.7999999999999545" w:val="single" w:color="#C7CCD0"/>
              <w:bottom w:sz="4.799999999999983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Evaluation factor</w:t>
            </w:r>
          </w:p>
        </w:tc>
        <w:tc>
          <w:tcPr>
            <w:tcW w:type="dxa" w:w="5402"/>
            <w:tcBorders>
              <w:start w:sz="4.7999999999999545" w:val="single" w:color="#C7CCD0"/>
              <w:top w:sz="4.799999999999997" w:val="single" w:color="#C7CCD0"/>
              <w:end w:sz="4.800000000000182" w:val="single" w:color="#C7CCD0"/>
              <w:bottom w:sz="4.799999999999983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Scoring items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997" w:val="single" w:color="#C7CCD0"/>
              <w:end w:sz="4.800000000000182" w:val="single" w:color="#C7CCD0"/>
              <w:bottom w:sz="4.799999999999983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Score</w:t>
            </w:r>
          </w:p>
        </w:tc>
      </w:tr>
      <w:tr>
        <w:trPr>
          <w:trHeight w:hRule="exact" w:val="444"/>
        </w:trPr>
        <w:tc>
          <w:tcPr>
            <w:tcW w:type="dxa" w:w="4560"/>
            <w:vMerge w:val="restart"/>
            <w:tcBorders>
              <w:start w:sz="4.800000000000011" w:val="single" w:color="#C7CCD0"/>
              <w:top w:sz="4.799999999999983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5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Emission factor sources</w:t>
            </w:r>
          </w:p>
        </w:tc>
        <w:tc>
          <w:tcPr>
            <w:tcW w:type="dxa" w:w="5402"/>
            <w:tcBorders>
              <w:start w:sz="4.7999999999999545" w:val="single" w:color="#C7CCD0"/>
              <w:top w:sz="4.799999999999983" w:val="single" w:color="#C7CCD0"/>
              <w:end w:sz="4.800000000000182" w:val="single" w:color="#C7CCD0"/>
              <w:bottom w:sz="4.800000000000011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In-house measurement coefficient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983" w:val="single" w:color="#C7CCD0"/>
              <w:end w:sz="4.800000000000182" w:val="single" w:color="#C7CCD0"/>
              <w:bottom w:sz="4.800000000000011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</w:tr>
      <w:tr>
        <w:trPr>
          <w:trHeight w:hRule="exact" w:val="446"/>
        </w:trPr>
        <w:tc>
          <w:tcPr>
            <w:tcW w:type="dxa" w:w="3856"/>
            <w:vMerge/>
            <w:tcBorders>
              <w:start w:sz="4.800000000000011" w:val="single" w:color="#C7CCD0"/>
              <w:top w:sz="4.799999999999983" w:val="single" w:color="#C7CCD0"/>
              <w:end w:sz="4.7999999999999545" w:val="single" w:color="#C7CCD0"/>
              <w:bottom w:sz="4.7999999999999545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800000000000011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Coefficient provided by the equipment manufacturer</w:t>
            </w:r>
          </w:p>
        </w:tc>
        <w:tc>
          <w:tcPr>
            <w:tcW w:type="dxa" w:w="758"/>
            <w:tcBorders>
              <w:start w:sz="4.800000000000182" w:val="single" w:color="#C7CCD0"/>
              <w:top w:sz="4.800000000000011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</w:tr>
      <w:tr>
        <w:trPr>
          <w:trHeight w:hRule="exact" w:val="444"/>
        </w:trPr>
        <w:tc>
          <w:tcPr>
            <w:tcW w:type="dxa" w:w="3856"/>
            <w:vMerge/>
            <w:tcBorders>
              <w:start w:sz="4.800000000000011" w:val="single" w:color="#C7CCD0"/>
              <w:top w:sz="4.799999999999983" w:val="single" w:color="#C7CCD0"/>
              <w:end w:sz="4.7999999999999545" w:val="single" w:color="#C7CCD0"/>
              <w:bottom w:sz="4.7999999999999545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800000000000068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Regional emission factor</w:t>
            </w:r>
          </w:p>
        </w:tc>
        <w:tc>
          <w:tcPr>
            <w:tcW w:type="dxa" w:w="758"/>
            <w:tcBorders>
              <w:start w:sz="4.800000000000182" w:val="single" w:color="#C7CCD0"/>
              <w:top w:sz="4.800000000000068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</w:tr>
      <w:tr>
        <w:trPr>
          <w:trHeight w:hRule="exact" w:val="446"/>
        </w:trPr>
        <w:tc>
          <w:tcPr>
            <w:tcW w:type="dxa" w:w="3856"/>
            <w:vMerge/>
            <w:tcBorders>
              <w:start w:sz="4.800000000000011" w:val="single" w:color="#C7CCD0"/>
              <w:top w:sz="4.799999999999983" w:val="single" w:color="#C7CCD0"/>
              <w:end w:sz="4.7999999999999545" w:val="single" w:color="#C7CCD0"/>
              <w:bottom w:sz="4.7999999999999545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National emission factor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</w:t>
            </w:r>
          </w:p>
        </w:tc>
      </w:tr>
      <w:tr>
        <w:trPr>
          <w:trHeight w:hRule="exact" w:val="446"/>
        </w:trPr>
        <w:tc>
          <w:tcPr>
            <w:tcW w:type="dxa" w:w="3856"/>
            <w:vMerge/>
            <w:tcBorders>
              <w:start w:sz="4.800000000000011" w:val="single" w:color="#C7CCD0"/>
              <w:top w:sz="4.799999999999983" w:val="single" w:color="#C7CCD0"/>
              <w:end w:sz="4.7999999999999545" w:val="single" w:color="#C7CCD0"/>
              <w:bottom w:sz="4.7999999999999545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800000000000068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International emission factor</w:t>
            </w:r>
          </w:p>
        </w:tc>
        <w:tc>
          <w:tcPr>
            <w:tcW w:type="dxa" w:w="758"/>
            <w:tcBorders>
              <w:start w:sz="4.800000000000182" w:val="single" w:color="#C7CCD0"/>
              <w:top w:sz="4.800000000000068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</w:tr>
      <w:tr>
        <w:trPr>
          <w:trHeight w:hRule="exact" w:val="444"/>
        </w:trPr>
        <w:tc>
          <w:tcPr>
            <w:tcW w:type="dxa" w:w="3856"/>
            <w:vMerge/>
            <w:tcBorders>
              <w:start w:sz="4.800000000000011" w:val="single" w:color="#C7CCD0"/>
              <w:top w:sz="4.799999999999983" w:val="single" w:color="#C7CCD0"/>
              <w:end w:sz="4.7999999999999545" w:val="single" w:color="#C7CCD0"/>
              <w:bottom w:sz="4.7999999999999545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 emission factor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</w:tr>
      <w:tr>
        <w:trPr>
          <w:trHeight w:hRule="exact" w:val="446"/>
        </w:trPr>
        <w:tc>
          <w:tcPr>
            <w:tcW w:type="dxa" w:w="4560"/>
            <w:vMerge w:val="restart"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022" w:after="0"/>
              <w:ind w:left="288" w:right="288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Emission reduction technology implementation </w:t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feasibility</w:t>
            </w:r>
          </w:p>
        </w:tc>
        <w:tc>
          <w:tcPr>
            <w:tcW w:type="dxa" w:w="5402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Emission reduction can be observed within 1 year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</w:tr>
      <w:tr>
        <w:trPr>
          <w:trHeight w:hRule="exact" w:val="444"/>
        </w:trPr>
        <w:tc>
          <w:tcPr>
            <w:tcW w:type="dxa" w:w="3856"/>
            <w:vMerge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Emission reduction can be observed between 1 to 2 years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</w:t>
            </w:r>
          </w:p>
        </w:tc>
      </w:tr>
      <w:tr>
        <w:trPr>
          <w:trHeight w:hRule="exact" w:val="446"/>
        </w:trPr>
        <w:tc>
          <w:tcPr>
            <w:tcW w:type="dxa" w:w="3856"/>
            <w:vMerge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Emission reduction can be observed between 3 to 5 years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</w:tr>
      <w:tr>
        <w:trPr>
          <w:trHeight w:hRule="exact" w:val="734"/>
        </w:trPr>
        <w:tc>
          <w:tcPr>
            <w:tcW w:type="dxa" w:w="3856"/>
            <w:vMerge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32" w:after="0"/>
              <w:ind w:left="432" w:right="432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Emission reduction can be observed after 6 years from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implementation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</w:t>
            </w:r>
          </w:p>
        </w:tc>
      </w:tr>
      <w:tr>
        <w:trPr>
          <w:trHeight w:hRule="exact" w:val="444"/>
        </w:trPr>
        <w:tc>
          <w:tcPr>
            <w:tcW w:type="dxa" w:w="3856"/>
            <w:vMerge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Unable to observe emission reduction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</w:tr>
      <w:tr>
        <w:trPr>
          <w:trHeight w:hRule="exact" w:val="446"/>
        </w:trPr>
        <w:tc>
          <w:tcPr>
            <w:tcW w:type="dxa" w:w="4560"/>
            <w:vMerge w:val="restart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8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Occurrence frequency</w:t>
            </w:r>
          </w:p>
        </w:tc>
        <w:tc>
          <w:tcPr>
            <w:tcW w:type="dxa" w:w="5402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At least once a month</w:t>
            </w:r>
          </w:p>
        </w:tc>
        <w:tc>
          <w:tcPr>
            <w:tcW w:type="dxa" w:w="7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</w:tr>
      <w:tr>
        <w:trPr>
          <w:trHeight w:hRule="exact" w:val="446"/>
        </w:trPr>
        <w:tc>
          <w:tcPr>
            <w:tcW w:type="dxa" w:w="3856"/>
            <w:vMerge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At least once a quarter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</w:tr>
      <w:tr>
        <w:trPr>
          <w:trHeight w:hRule="exact" w:val="444"/>
        </w:trPr>
        <w:tc>
          <w:tcPr>
            <w:tcW w:type="dxa" w:w="3856"/>
            <w:vMerge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At least once a year</w:t>
            </w:r>
          </w:p>
        </w:tc>
        <w:tc>
          <w:tcPr>
            <w:tcW w:type="dxa" w:w="758"/>
            <w:tcBorders>
              <w:start w:sz="4.800000000000182" w:val="single" w:color="#C7CCD0"/>
              <w:top w:sz="4.0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</w:tr>
      <w:tr>
        <w:trPr>
          <w:trHeight w:hRule="exact" w:val="446"/>
        </w:trPr>
        <w:tc>
          <w:tcPr>
            <w:tcW w:type="dxa" w:w="3856"/>
            <w:vMerge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Not Consider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</w:tr>
      <w:tr>
        <w:trPr>
          <w:trHeight w:hRule="exact" w:val="444"/>
        </w:trPr>
        <w:tc>
          <w:tcPr>
            <w:tcW w:type="dxa" w:w="4560"/>
            <w:vMerge w:val="restart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Emission volume</w:t>
            </w:r>
          </w:p>
        </w:tc>
        <w:tc>
          <w:tcPr>
            <w:tcW w:type="dxa" w:w="5402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Accounting for more than 3% of total emissions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</w:t>
            </w:r>
          </w:p>
        </w:tc>
      </w:tr>
      <w:tr>
        <w:trPr>
          <w:trHeight w:hRule="exact" w:val="446"/>
        </w:trPr>
        <w:tc>
          <w:tcPr>
            <w:tcW w:type="dxa" w:w="3856"/>
            <w:vMerge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Accounting between 0.5% to 3% of total emissions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</w:tr>
      <w:tr>
        <w:trPr>
          <w:trHeight w:hRule="exact" w:val="444"/>
        </w:trPr>
        <w:tc>
          <w:tcPr>
            <w:tcW w:type="dxa" w:w="3856"/>
            <w:vMerge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Accounting for less than 0.5% of total emissions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</w:t>
            </w:r>
          </w:p>
        </w:tc>
      </w:tr>
      <w:tr>
        <w:trPr>
          <w:trHeight w:hRule="exact" w:val="426"/>
        </w:trPr>
        <w:tc>
          <w:tcPr>
            <w:tcW w:type="dxa" w:w="3856"/>
            <w:vMerge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5402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Not Consider</w:t>
            </w:r>
          </w:p>
        </w:tc>
        <w:tc>
          <w:tcPr>
            <w:tcW w:type="dxa" w:w="7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1" w:lineRule="auto" w:before="540" w:after="230"/>
        <w:ind w:left="288" w:right="6048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 xml:space="preserve">11. Reporting Boundaries </w:t>
      </w:r>
      <w:r>
        <w:br/>
      </w: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(a) Disclosure of Emission Boundaries (5-Apr-2024 to 5-Apr-2024)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446"/>
        <w:gridCol w:w="1446"/>
        <w:gridCol w:w="1446"/>
        <w:gridCol w:w="1446"/>
        <w:gridCol w:w="1446"/>
        <w:gridCol w:w="1446"/>
        <w:gridCol w:w="1446"/>
        <w:gridCol w:w="1446"/>
      </w:tblGrid>
      <w:tr>
        <w:trPr>
          <w:trHeight w:hRule="exact" w:val="4114"/>
        </w:trPr>
        <w:tc>
          <w:tcPr>
            <w:tcW w:type="dxa" w:w="494"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24"/>
            <w:gridSpan w:val="2"/>
            <w:tcBorders>
              <w:start w:sz="4.800000000000011" w:val="single" w:color="#C7CCD0"/>
              <w:top w:sz="4.7999999999999545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60" w:val="left"/>
              </w:tabs>
              <w:autoSpaceDE w:val="0"/>
              <w:widowControl/>
              <w:spacing w:line="252" w:lineRule="auto" w:before="3572" w:after="0"/>
              <w:ind w:left="0" w:right="4032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Scope |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Category </w:t>
            </w:r>
            <w:r>
              <w:tab/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Description</w:t>
            </w:r>
          </w:p>
        </w:tc>
        <w:tc>
          <w:tcPr>
            <w:tcW w:type="dxa" w:w="770"/>
            <w:tcBorders>
              <w:start w:sz="4.799999999999727" w:val="single" w:color="#C7CCD0"/>
              <w:top w:sz="4.7999999999999545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90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18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3572" w:after="0"/>
              <w:ind w:left="2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Uncertainty </w:t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(%)</w:t>
            </w:r>
          </w:p>
        </w:tc>
        <w:tc>
          <w:tcPr>
            <w:tcW w:type="dxa" w:w="1204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494"/>
            <w:vMerge w:val="restart"/>
            <w:tcBorders>
              <w:start w:sz="4.800000000000011" w:val="single" w:color="#C7CCD0"/>
              <w:top w:sz="4.799999999999727" w:val="single" w:color="#C7CCD0"/>
              <w:end w:sz="4.800000000000011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070"/>
            <w:vMerge w:val="restart"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96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1 | 1</w:t>
            </w:r>
          </w:p>
        </w:tc>
        <w:tc>
          <w:tcPr>
            <w:tcW w:type="dxa" w:w="5054"/>
            <w:tcBorders>
              <w:start w:sz="4.800000000000068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68" w:right="72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1.1. Direct GHG emissions &amp; removals from stationary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combustion</w:t>
            </w:r>
          </w:p>
        </w:tc>
        <w:tc>
          <w:tcPr>
            <w:tcW w:type="dxa" w:w="770"/>
            <w:tcBorders>
              <w:start w:sz="4.799999999999727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2024</w:t>
            </w:r>
          </w:p>
        </w:tc>
        <w:tc>
          <w:tcPr>
            <w:tcW w:type="dxa" w:w="1118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300"/>
        </w:trPr>
        <w:tc>
          <w:tcPr>
            <w:tcW w:type="dxa" w:w="1446"/>
            <w:vMerge/>
            <w:tcBorders>
              <w:start w:sz="4.800000000000011" w:val="single" w:color="#C7CCD0"/>
              <w:top w:sz="4.799999999999727" w:val="single" w:color="#C7CCD0"/>
              <w:end w:sz="4.800000000000011" w:val="single" w:color="#C7CCD0"/>
              <w:bottom w:sz="4.799999999999727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1.2. Direct GHG emissions &amp; removals from mobile combuston</w:t>
            </w:r>
          </w:p>
        </w:tc>
        <w:tc>
          <w:tcPr>
            <w:tcW w:type="dxa" w:w="770"/>
            <w:tcBorders>
              <w:start w:sz="4.799999999999727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 4,339.03</w:t>
            </w:r>
          </w:p>
        </w:tc>
        <w:tc>
          <w:tcPr>
            <w:tcW w:type="dxa" w:w="66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 12.07</w:t>
            </w:r>
          </w:p>
        </w:tc>
        <w:tc>
          <w:tcPr>
            <w:tcW w:type="dxa" w:w="5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302"/>
        </w:trPr>
        <w:tc>
          <w:tcPr>
            <w:tcW w:type="dxa" w:w="1446"/>
            <w:vMerge/>
            <w:tcBorders>
              <w:start w:sz="4.800000000000011" w:val="single" w:color="#C7CCD0"/>
              <w:top w:sz="4.799999999999727" w:val="single" w:color="#C7CCD0"/>
              <w:end w:sz="4.800000000000011" w:val="single" w:color="#C7CCD0"/>
              <w:bottom w:sz="4.799999999999727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1.3. Direct GHG emissions &amp; removals from industrial processes</w:t>
            </w:r>
          </w:p>
        </w:tc>
        <w:tc>
          <w:tcPr>
            <w:tcW w:type="dxa" w:w="770"/>
            <w:tcBorders>
              <w:start w:sz="4.799999999999727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 0.00</w:t>
            </w:r>
          </w:p>
        </w:tc>
        <w:tc>
          <w:tcPr>
            <w:tcW w:type="dxa" w:w="66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2024</w:t>
            </w:r>
          </w:p>
        </w:tc>
        <w:tc>
          <w:tcPr>
            <w:tcW w:type="dxa" w:w="1118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88"/>
        </w:trPr>
        <w:tc>
          <w:tcPr>
            <w:tcW w:type="dxa" w:w="1446"/>
            <w:vMerge/>
            <w:tcBorders>
              <w:start w:sz="4.800000000000011" w:val="single" w:color="#C7CCD0"/>
              <w:top w:sz="4.799999999999727" w:val="single" w:color="#C7CCD0"/>
              <w:end w:sz="4.800000000000011" w:val="single" w:color="#C7CCD0"/>
              <w:bottom w:sz="4.799999999999727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68" w:right="432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1.4. Direct fugitive emissions from the release of GHGs in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anthropogenic systems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22,550.0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62.75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90"/>
        </w:trPr>
        <w:tc>
          <w:tcPr>
            <w:tcW w:type="dxa" w:w="1446"/>
            <w:vMerge/>
            <w:tcBorders>
              <w:start w:sz="4.800000000000011" w:val="single" w:color="#C7CCD0"/>
              <w:top w:sz="4.799999999999727" w:val="single" w:color="#C7CCD0"/>
              <w:end w:sz="4.800000000000011" w:val="single" w:color="#C7CCD0"/>
              <w:bottom w:sz="4.799999999999727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" w:after="0"/>
              <w:ind w:left="68" w:right="288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1.5. Direct GHG emissions and removals from land use, land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use change and forestry (LULUCF)</w:t>
            </w:r>
          </w:p>
        </w:tc>
        <w:tc>
          <w:tcPr>
            <w:tcW w:type="dxa" w:w="770"/>
            <w:tcBorders>
              <w:start w:sz="4.799999999999727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70"/>
        </w:trPr>
        <w:tc>
          <w:tcPr>
            <w:tcW w:type="dxa" w:w="1446"/>
            <w:vMerge/>
            <w:tcBorders>
              <w:start w:sz="4.800000000000011" w:val="single" w:color="#C7CCD0"/>
              <w:top w:sz="4.799999999999727" w:val="single" w:color="#C7CCD0"/>
              <w:end w:sz="4.800000000000011" w:val="single" w:color="#C7CCD0"/>
              <w:bottom w:sz="4.799999999999727" w:val="single" w:color="#C7CCD0"/>
            </w:tcBorders>
          </w:tcPr>
          <w:p/>
        </w:tc>
        <w:tc>
          <w:tcPr>
            <w:tcW w:type="dxa" w:w="6124"/>
            <w:gridSpan w:val="2"/>
            <w:tcBorders>
              <w:start w:sz="4.800000000000011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Total for Scope 1 | Category 1:</w:t>
            </w:r>
          </w:p>
        </w:tc>
        <w:tc>
          <w:tcPr>
            <w:tcW w:type="dxa" w:w="770"/>
            <w:tcBorders>
              <w:start w:sz="4.799999999999727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26,889.0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6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74.82</w:t>
            </w:r>
          </w:p>
        </w:tc>
        <w:tc>
          <w:tcPr>
            <w:tcW w:type="dxa" w:w="5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18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446"/>
        <w:gridCol w:w="1446"/>
        <w:gridCol w:w="1446"/>
        <w:gridCol w:w="1446"/>
        <w:gridCol w:w="1446"/>
        <w:gridCol w:w="1446"/>
        <w:gridCol w:w="1446"/>
        <w:gridCol w:w="1446"/>
      </w:tblGrid>
      <w:tr>
        <w:trPr>
          <w:trHeight w:hRule="exact" w:val="4126"/>
        </w:trPr>
        <w:tc>
          <w:tcPr>
            <w:tcW w:type="dxa" w:w="494"/>
            <w:tcBorders>
              <w:start w:sz="4.800000000000011" w:val="single" w:color="#C7CCD0"/>
              <w:top w:sz="4.799999999999997" w:val="single" w:color="#C7CCD0"/>
              <w:end w:sz="4.800000000000011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24"/>
            <w:gridSpan w:val="2"/>
            <w:tcBorders>
              <w:start w:sz="4.800000000000011" w:val="single" w:color="#C7CCD0"/>
              <w:top w:sz="4.799999999999997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60" w:val="left"/>
              </w:tabs>
              <w:autoSpaceDE w:val="0"/>
              <w:widowControl/>
              <w:spacing w:line="252" w:lineRule="auto" w:before="3586" w:after="0"/>
              <w:ind w:left="0" w:right="4032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Scope |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Category </w:t>
            </w:r>
            <w:r>
              <w:tab/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Description</w:t>
            </w:r>
          </w:p>
        </w:tc>
        <w:tc>
          <w:tcPr>
            <w:tcW w:type="dxa" w:w="770"/>
            <w:tcBorders>
              <w:start w:sz="4.799999999999727" w:val="single" w:color="#C7CCD0"/>
              <w:top w:sz="4.799999999999997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2"/>
            <w:tcBorders>
              <w:start w:sz="4.799999999999727" w:val="single" w:color="#C7CCD0"/>
              <w:top w:sz="4.799999999999997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90"/>
            <w:tcBorders>
              <w:start w:sz="4.800000000000182" w:val="single" w:color="#C7CCD0"/>
              <w:top w:sz="4.799999999999997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18"/>
            <w:tcBorders>
              <w:start w:sz="4.800000000000182" w:val="single" w:color="#C7CCD0"/>
              <w:top w:sz="4.799999999999997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3586" w:after="0"/>
              <w:ind w:left="2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Uncertainty </w:t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(%)</w:t>
            </w:r>
          </w:p>
        </w:tc>
        <w:tc>
          <w:tcPr>
            <w:tcW w:type="dxa" w:w="1204"/>
            <w:tcBorders>
              <w:start w:sz="4.799999999999727" w:val="single" w:color="#C7CCD0"/>
              <w:top w:sz="4.799999999999997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2"/>
        </w:trPr>
        <w:tc>
          <w:tcPr>
            <w:tcW w:type="dxa" w:w="494"/>
            <w:vMerge w:val="restart"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070"/>
            <w:vMerge w:val="restart"/>
            <w:tcBorders>
              <w:start w:sz="4.800000000000011" w:val="single" w:color="#C7CCD0"/>
              <w:top w:sz="4.7999999999999545" w:val="single" w:color="#C7CCD0"/>
              <w:end w:sz="4.800000000000068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2 | 2</w:t>
            </w:r>
          </w:p>
        </w:tc>
        <w:tc>
          <w:tcPr>
            <w:tcW w:type="dxa" w:w="5054"/>
            <w:tcBorders>
              <w:start w:sz="4.800000000000068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2.1. Indirect GHG emissions from imported electricity</w:t>
            </w:r>
          </w:p>
        </w:tc>
        <w:tc>
          <w:tcPr>
            <w:tcW w:type="dxa" w:w="770"/>
            <w:tcBorders>
              <w:start w:sz="4.799999999999727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3,154.00</w:t>
            </w:r>
          </w:p>
        </w:tc>
        <w:tc>
          <w:tcPr>
            <w:tcW w:type="dxa" w:w="66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 8.78</w:t>
            </w:r>
          </w:p>
        </w:tc>
        <w:tc>
          <w:tcPr>
            <w:tcW w:type="dxa" w:w="590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300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68" w:val="single" w:color="#C7CCD0"/>
              <w:bottom w:sz="4.7999999999999545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2.2. Indirect GHG emissions from imported energy</w:t>
            </w:r>
          </w:p>
        </w:tc>
        <w:tc>
          <w:tcPr>
            <w:tcW w:type="dxa" w:w="770"/>
            <w:tcBorders>
              <w:start w:sz="4.799999999999727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2024</w:t>
            </w:r>
          </w:p>
        </w:tc>
        <w:tc>
          <w:tcPr>
            <w:tcW w:type="dxa" w:w="1118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302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6124"/>
            <w:gridSpan w:val="2"/>
            <w:tcBorders>
              <w:start w:sz="4.800000000000011" w:val="single" w:color="#C7CCD0"/>
              <w:top w:sz="4.7999999999999545" w:val="single" w:color="#C7CCD0"/>
              <w:end w:sz="4.799999999999727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Total for Scope 2 | Category 2:</w:t>
            </w:r>
          </w:p>
        </w:tc>
        <w:tc>
          <w:tcPr>
            <w:tcW w:type="dxa" w:w="770"/>
            <w:tcBorders>
              <w:start w:sz="4.799999999999727" w:val="single" w:color="#C7CCD0"/>
              <w:top w:sz="4.7999999999999545" w:val="single" w:color="#C7CCD0"/>
              <w:end w:sz="4.799999999999727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3,154.00</w:t>
            </w:r>
          </w:p>
        </w:tc>
        <w:tc>
          <w:tcPr>
            <w:tcW w:type="dxa" w:w="66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 8.78</w:t>
            </w:r>
          </w:p>
        </w:tc>
        <w:tc>
          <w:tcPr>
            <w:tcW w:type="dxa" w:w="590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18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4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8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70"/>
            <w:vMerge w:val="restart"/>
            <w:tcBorders>
              <w:start w:sz="4.800000000000011" w:val="single" w:color="#C7CCD0"/>
              <w:top w:sz="5.600000000000364" w:val="single" w:color="#C7CCD0"/>
              <w:end w:sz="4.800000000000068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48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3 | 3</w:t>
            </w:r>
          </w:p>
        </w:tc>
        <w:tc>
          <w:tcPr>
            <w:tcW w:type="dxa" w:w="5054"/>
            <w:tcBorders>
              <w:start w:sz="4.800000000000068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8" w:after="0"/>
              <w:ind w:left="68" w:right="432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3.1. Indirect GHG emissions from upstream transport and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distribution for goods</w:t>
            </w:r>
          </w:p>
        </w:tc>
        <w:tc>
          <w:tcPr>
            <w:tcW w:type="dxa" w:w="770"/>
            <w:tcBorders>
              <w:start w:sz="4.799999999999727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2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55.90</w:t>
            </w:r>
          </w:p>
        </w:tc>
        <w:tc>
          <w:tcPr>
            <w:tcW w:type="dxa" w:w="662"/>
            <w:tcBorders>
              <w:start w:sz="4.799999999999727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2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0.16</w:t>
            </w:r>
          </w:p>
        </w:tc>
        <w:tc>
          <w:tcPr>
            <w:tcW w:type="dxa" w:w="590"/>
            <w:tcBorders>
              <w:start w:sz="4.800000000000182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2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2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90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5.600000000000364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68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3.2. Indirect GHG emissions from downstream transport and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distribution for goods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2024</w:t>
            </w:r>
          </w:p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302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5.600000000000364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3.3. Indirect GHG emissions from employee commuting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469.80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1.31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300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5.600000000000364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3.4. Indirect GHG emissions from client and visitor transport</w:t>
            </w:r>
          </w:p>
        </w:tc>
        <w:tc>
          <w:tcPr>
            <w:tcW w:type="dxa" w:w="770"/>
            <w:tcBorders>
              <w:start w:sz="4.799999999999727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4,724.17</w:t>
            </w:r>
          </w:p>
        </w:tc>
        <w:tc>
          <w:tcPr>
            <w:tcW w:type="dxa" w:w="662"/>
            <w:tcBorders>
              <w:start w:sz="4.799999999999727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 13.15</w:t>
            </w:r>
          </w:p>
        </w:tc>
        <w:tc>
          <w:tcPr>
            <w:tcW w:type="dxa" w:w="590"/>
            <w:tcBorders>
              <w:start w:sz="4.800000000000182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300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5.600000000000364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3.5. Indirect GHG emissions from business travel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645.22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1.8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302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6124"/>
            <w:gridSpan w:val="2"/>
            <w:tcBorders>
              <w:start w:sz="4.800000000000011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Total for Scope 3 | Category 3: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5,895.09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 16.42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8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70"/>
            <w:vMerge w:val="restart"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8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3 | 4</w:t>
            </w:r>
          </w:p>
        </w:tc>
        <w:tc>
          <w:tcPr>
            <w:tcW w:type="dxa" w:w="5054"/>
            <w:tcBorders>
              <w:start w:sz="4.800000000000068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68" w:right="432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4.1. Indirect GHG emissions from goods purchased by an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organization</w:t>
            </w:r>
          </w:p>
        </w:tc>
        <w:tc>
          <w:tcPr>
            <w:tcW w:type="dxa" w:w="770"/>
            <w:tcBorders>
              <w:start w:sz="4.799999999999727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2024</w:t>
            </w:r>
          </w:p>
        </w:tc>
        <w:tc>
          <w:tcPr>
            <w:tcW w:type="dxa" w:w="1118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90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68" w:right="576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4.2. Indirect GHG emissions from capital goods that are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purchased and amortized by an organization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90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68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4.3. Indirect GHG emissions from disposal services (of solid or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liquid waste) used by an organization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90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4.4. Indirect GHG emissions from use of assets (through leased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equipment) by an organization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88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4.5. Indirect GHG emissions from use of services not described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in the above sub-categories by an organization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302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6124"/>
            <w:gridSpan w:val="2"/>
            <w:tcBorders>
              <w:start w:sz="4.800000000000011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Total for Scope 3 | Category 4: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70"/>
            <w:vMerge w:val="restart"/>
            <w:tcBorders>
              <w:start w:sz="4.800000000000011" w:val="single" w:color="#C7CCD0"/>
              <w:top w:sz="4.800000000000182" w:val="single" w:color="#C7CCD0"/>
              <w:end w:sz="4.800000000000068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9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3 | 5</w:t>
            </w:r>
          </w:p>
        </w:tc>
        <w:tc>
          <w:tcPr>
            <w:tcW w:type="dxa" w:w="5054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68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5.1. Indirect GHG emissions or removals from use stage of the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product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300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4.800000000000182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5.2. Indirect GHG emissions from downstream leased assets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90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4.800000000000182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68" w:right="576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5.3. Indirect GHG emissions from end of life stage of the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product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300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446"/>
            <w:vMerge/>
            <w:tcBorders>
              <w:start w:sz="4.800000000000011" w:val="single" w:color="#C7CCD0"/>
              <w:top w:sz="4.800000000000182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5054"/>
            <w:tcBorders>
              <w:start w:sz="4.800000000000068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5.4. Indirect GHG emissions from investments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302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6124"/>
            <w:gridSpan w:val="2"/>
            <w:tcBorders>
              <w:start w:sz="4.800000000000011" w:val="single" w:color="#C7CCD0"/>
              <w:top w:sz="4.800000000000182" w:val="single" w:color="#C7CCD0"/>
              <w:end w:sz="4.799999999999727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Total for Scope 3 | Category 5: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1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446"/>
            <w:vMerge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1070"/>
            <w:tcBorders>
              <w:start w:sz="4.800000000000011" w:val="single" w:color="#C7CCD0"/>
              <w:top w:sz="5.600000000000364" w:val="single" w:color="#C7CCD0"/>
              <w:end w:sz="4.800000000000068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3 | 6</w:t>
            </w:r>
          </w:p>
        </w:tc>
        <w:tc>
          <w:tcPr>
            <w:tcW w:type="dxa" w:w="5054"/>
            <w:tcBorders>
              <w:start w:sz="4.800000000000068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6.1. Indirect GHG emissions or removals from other sources</w:t>
            </w:r>
          </w:p>
        </w:tc>
        <w:tc>
          <w:tcPr>
            <w:tcW w:type="dxa" w:w="770"/>
            <w:tcBorders>
              <w:start w:sz="4.799999999999727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662"/>
            <w:tcBorders>
              <w:start w:sz="4.799999999999727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590"/>
            <w:tcBorders>
              <w:start w:sz="4.800000000000182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2024</w:t>
            </w:r>
          </w:p>
        </w:tc>
        <w:tc>
          <w:tcPr>
            <w:tcW w:type="dxa" w:w="1118"/>
            <w:tcBorders>
              <w:start w:sz="4.800000000000182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204"/>
            <w:tcBorders>
              <w:start w:sz="4.799999999999727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No</w:t>
            </w:r>
          </w:p>
        </w:tc>
      </w:tr>
      <w:tr>
        <w:trPr>
          <w:trHeight w:hRule="exact" w:val="590"/>
        </w:trPr>
        <w:tc>
          <w:tcPr>
            <w:tcW w:type="dxa" w:w="6618"/>
            <w:gridSpan w:val="3"/>
            <w:tcBorders>
              <w:start w:sz="4.800000000000011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Total</w:t>
            </w:r>
          </w:p>
        </w:tc>
        <w:tc>
          <w:tcPr>
            <w:tcW w:type="dxa" w:w="770"/>
            <w:tcBorders>
              <w:start w:sz="4.799999999999727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35,938.1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</w:t>
            </w:r>
          </w:p>
        </w:tc>
        <w:tc>
          <w:tcPr>
            <w:tcW w:type="dxa" w:w="662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2912"/>
            <w:gridSpan w:val="3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97" w:lineRule="auto" w:before="180" w:after="0"/>
        <w:ind w:left="0" w:right="0" w:firstLine="0"/>
        <w:jc w:val="center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Table 4: Summary of GHG emission activities of Evercomm Taiwan Pte Ltd for (5-Apr-2024 to 5-Apr-2024)</w:t>
      </w: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240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b) Summary of corporate emissions by entity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</wp:posOffset>
            </wp:positionH>
            <wp:positionV relativeFrom="page">
              <wp:posOffset>8636000</wp:posOffset>
            </wp:positionV>
            <wp:extent cx="7073900" cy="17780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177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4330700</wp:posOffset>
            </wp:positionV>
            <wp:extent cx="5435600" cy="30607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60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3" w:lineRule="auto" w:before="278" w:after="290"/>
        <w:ind w:left="0" w:right="0" w:firstLine="0"/>
        <w:jc w:val="center"/>
      </w:pPr>
      <w:r>
        <w:rPr>
          <w:w w:val="101.3157894736842"/>
          <w:rFonts w:ascii="Arial" w:hAnsi="Arial" w:eastAsia="Arial"/>
          <w:b w:val="0"/>
          <w:i w:val="0"/>
          <w:color w:val="373C3F"/>
          <w:sz w:val="19"/>
        </w:rPr>
        <w:t>Total Absolute Corporate Greenhouse Gas Emissions by Entity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1052"/>
        <w:gridCol w:w="1052"/>
        <w:gridCol w:w="1052"/>
        <w:gridCol w:w="1052"/>
        <w:gridCol w:w="1052"/>
        <w:gridCol w:w="1052"/>
        <w:gridCol w:w="1052"/>
        <w:gridCol w:w="1052"/>
        <w:gridCol w:w="1052"/>
        <w:gridCol w:w="1052"/>
        <w:gridCol w:w="1052"/>
      </w:tblGrid>
      <w:tr>
        <w:trPr>
          <w:trHeight w:hRule="exact" w:val="226"/>
        </w:trPr>
        <w:tc>
          <w:tcPr>
            <w:tcW w:type="dxa" w:w="182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4" w:after="0"/>
              <w:ind w:left="0" w:right="120" w:firstLine="0"/>
              <w:jc w:val="righ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Scope 1</w:t>
            </w:r>
          </w:p>
          <w:p>
            <w:pPr>
              <w:autoSpaceDN w:val="0"/>
              <w:autoSpaceDE w:val="0"/>
              <w:widowControl/>
              <w:spacing w:line="233" w:lineRule="auto" w:before="1602" w:after="0"/>
              <w:ind w:left="236" w:right="0" w:firstLine="0"/>
              <w:jc w:val="left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Evercomm Taiwan Pte Ltd</w:t>
            </w:r>
          </w:p>
        </w:tc>
        <w:tc>
          <w:tcPr>
            <w:tcW w:type="dxa" w:w="83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4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Scope 2</w:t>
            </w:r>
          </w:p>
        </w:tc>
        <w:tc>
          <w:tcPr>
            <w:tcW w:type="dxa" w:w="8488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4" w:after="0"/>
              <w:ind w:left="182" w:right="0" w:firstLine="0"/>
              <w:jc w:val="lef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Scope 3</w:t>
            </w:r>
          </w:p>
        </w:tc>
      </w:tr>
      <w:tr>
        <w:trPr>
          <w:trHeight w:hRule="exact" w:val="3040"/>
        </w:trPr>
        <w:tc>
          <w:tcPr>
            <w:tcW w:type="dxa" w:w="1052"/>
            <w:vMerge/>
            <w:tcBorders/>
          </w:tcPr>
          <w:p/>
        </w:tc>
        <w:tc>
          <w:tcPr>
            <w:tcW w:type="dxa" w:w="9318"/>
            <w:gridSpan w:val="10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0.0" w:type="dxa"/>
            </w:tblPr>
            <w:tblGrid>
              <w:gridCol w:w="1165"/>
              <w:gridCol w:w="1165"/>
              <w:gridCol w:w="1165"/>
              <w:gridCol w:w="1165"/>
              <w:gridCol w:w="1165"/>
              <w:gridCol w:w="1165"/>
              <w:gridCol w:w="1165"/>
              <w:gridCol w:w="1165"/>
            </w:tblGrid>
            <w:tr>
              <w:trPr>
                <w:trHeight w:hRule="exact" w:val="2872"/>
              </w:trPr>
              <w:tc>
                <w:tcPr>
                  <w:tcW w:type="dxa" w:w="8782"/>
                  <w:gridSpan w:val="8"/>
                  <w:tcBorders>
                    <w:start w:sz="4.8125" w:val="single" w:color="#DFDFDF"/>
                    <w:top w:sz="4.8125" w:val="single" w:color="#DFDFDF"/>
                    <w:bottom w:sz="4.8125" w:val="single" w:color="#DFDFDF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08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4.000000000000057" w:type="dxa"/>
                  </w:tblPr>
                  <w:tblGrid>
                    <w:gridCol w:w="2927"/>
                    <w:gridCol w:w="2927"/>
                    <w:gridCol w:w="2927"/>
                  </w:tblGrid>
                  <w:tr>
                    <w:trPr>
                      <w:trHeight w:hRule="exact" w:val="690"/>
                    </w:trPr>
                    <w:tc>
                      <w:tcPr>
                        <w:tcW w:type="dxa" w:w="5914"/>
                        <w:tcBorders/>
                        <w:shd w:fill="333f4f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276" w:after="0"/>
                          <w:ind w:left="0" w:right="0" w:firstLine="0"/>
                          <w:jc w:val="center"/>
                        </w:pPr>
                        <w:r>
                          <w:rPr>
                            <w:w w:val="103.125"/>
                            <w:rFonts w:ascii="Arial" w:hAnsi="Arial" w:eastAsia="Arial"/>
                            <w:b/>
                            <w:i w:val="0"/>
                            <w:color w:val="FFFFFF"/>
                            <w:sz w:val="14"/>
                          </w:rPr>
                          <w:t>26959.05</w:t>
                        </w:r>
                      </w:p>
                    </w:tc>
                    <w:tc>
                      <w:tcPr>
                        <w:tcW w:type="dxa" w:w="692"/>
                        <w:tcBorders/>
                        <w:shd w:fill="8397b0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276" w:after="0"/>
                          <w:ind w:left="0" w:right="0" w:firstLine="0"/>
                          <w:jc w:val="center"/>
                        </w:pPr>
                        <w:r>
                          <w:rPr>
                            <w:w w:val="103.125"/>
                            <w:rFonts w:ascii="Arial" w:hAnsi="Arial" w:eastAsia="Arial"/>
                            <w:b/>
                            <w:i w:val="0"/>
                            <w:color w:val="FFFFFF"/>
                            <w:sz w:val="14"/>
                          </w:rPr>
                          <w:t>3154</w:t>
                        </w:r>
                      </w:p>
                    </w:tc>
                    <w:tc>
                      <w:tcPr>
                        <w:tcW w:type="dxa" w:w="1762"/>
                        <w:tcBorders/>
                        <w:shd w:fill="d5dbe4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276" w:after="0"/>
                          <w:ind w:left="0" w:right="0" w:firstLine="0"/>
                          <w:jc w:val="center"/>
                        </w:pPr>
                        <w:r>
                          <w:rPr>
                            <w:w w:val="103.125"/>
                            <w:rFonts w:ascii="Arial" w:hAnsi="Arial" w:eastAsia="Arial"/>
                            <w:b/>
                            <w:i w:val="0"/>
                            <w:color w:val="FFFFFF"/>
                            <w:sz w:val="14"/>
                          </w:rPr>
                          <w:t>8033.33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02"/>
        </w:trPr>
        <w:tc>
          <w:tcPr>
            <w:tcW w:type="dxa" w:w="1052"/>
            <w:vMerge/>
            <w:tcBorders/>
          </w:tcPr>
          <w:p/>
        </w:tc>
        <w:tc>
          <w:tcPr>
            <w:tcW w:type="dxa" w:w="14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80" w:after="0"/>
              <w:ind w:left="0" w:right="0" w:firstLine="0"/>
              <w:jc w:val="righ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0</w:t>
            </w:r>
          </w:p>
        </w:tc>
        <w:tc>
          <w:tcPr>
            <w:tcW w:type="dxa" w:w="159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80" w:after="0"/>
              <w:ind w:left="0" w:right="360" w:firstLine="0"/>
              <w:jc w:val="righ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5000</w:t>
            </w:r>
          </w:p>
        </w:tc>
        <w:tc>
          <w:tcPr>
            <w:tcW w:type="dxa" w:w="1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80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10000</w:t>
            </w:r>
          </w:p>
        </w:tc>
        <w:tc>
          <w:tcPr>
            <w:tcW w:type="dxa" w:w="1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80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15000</w:t>
            </w:r>
          </w:p>
        </w:tc>
        <w:tc>
          <w:tcPr>
            <w:tcW w:type="dxa" w:w="1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80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20000</w:t>
            </w:r>
          </w:p>
        </w:tc>
        <w:tc>
          <w:tcPr>
            <w:tcW w:type="dxa" w:w="1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80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25000</w:t>
            </w:r>
          </w:p>
        </w:tc>
        <w:tc>
          <w:tcPr>
            <w:tcW w:type="dxa" w:w="1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80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30000</w:t>
            </w:r>
          </w:p>
        </w:tc>
        <w:tc>
          <w:tcPr>
            <w:tcW w:type="dxa" w:w="10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80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35000</w:t>
            </w:r>
          </w:p>
        </w:tc>
        <w:tc>
          <w:tcPr>
            <w:tcW w:type="dxa" w:w="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80" w:after="0"/>
              <w:ind w:left="0" w:right="212" w:firstLine="0"/>
              <w:jc w:val="righ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40000</w:t>
            </w:r>
          </w:p>
        </w:tc>
      </w:tr>
    </w:tbl>
    <w:p>
      <w:pPr>
        <w:autoSpaceDN w:val="0"/>
        <w:autoSpaceDE w:val="0"/>
        <w:widowControl/>
        <w:spacing w:line="197" w:lineRule="auto" w:before="452" w:after="0"/>
        <w:ind w:left="0" w:right="0" w:firstLine="0"/>
        <w:jc w:val="center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Figure 2: Summary of GHG emission by entity for Evercomm Taiwan Pte Ltd</w:t>
      </w:r>
    </w:p>
    <w:p>
      <w:pPr>
        <w:autoSpaceDN w:val="0"/>
        <w:autoSpaceDE w:val="0"/>
        <w:widowControl/>
        <w:spacing w:line="197" w:lineRule="auto" w:before="578" w:after="5044"/>
        <w:ind w:left="288" w:right="0" w:firstLine="0"/>
        <w:jc w:val="left"/>
      </w:pP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c) Summary of corporate emissions by geographical location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5784"/>
        <w:gridCol w:w="5784"/>
      </w:tblGrid>
      <w:tr>
        <w:trPr>
          <w:trHeight w:hRule="exact" w:val="308"/>
        </w:trPr>
        <w:tc>
          <w:tcPr>
            <w:tcW w:type="dxa" w:w="2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9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7"/>
              </w:rPr>
              <w:t>38,146.38</w:t>
            </w:r>
          </w:p>
        </w:tc>
        <w:tc>
          <w:tcPr>
            <w:tcW w:type="dxa" w:w="5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08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7"/>
              </w:rPr>
              <w:t>38,146.38</w:t>
            </w:r>
          </w:p>
        </w:tc>
      </w:tr>
    </w:tbl>
    <w:p>
      <w:pPr>
        <w:autoSpaceDN w:val="0"/>
        <w:autoSpaceDE w:val="0"/>
        <w:widowControl/>
        <w:spacing w:line="197" w:lineRule="auto" w:before="880" w:after="0"/>
        <w:ind w:left="0" w:right="0" w:firstLine="0"/>
        <w:jc w:val="center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Figure 3: Heatmap of Evercomm Taiwan Pte Ltd GHG emission by geographical location</w:t>
      </w:r>
    </w:p>
    <w:p>
      <w:pPr>
        <w:autoSpaceDN w:val="0"/>
        <w:autoSpaceDE w:val="0"/>
        <w:widowControl/>
        <w:spacing w:line="197" w:lineRule="auto" w:before="578" w:after="254"/>
        <w:ind w:left="288" w:right="0" w:firstLine="0"/>
        <w:jc w:val="left"/>
      </w:pP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(e) Summary of reporting entity’s emissions hotspot breakdown during reporting period (01-Jan-2022 to 31-Dec-2022)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1653"/>
        <w:gridCol w:w="1653"/>
        <w:gridCol w:w="1653"/>
        <w:gridCol w:w="1653"/>
        <w:gridCol w:w="1653"/>
        <w:gridCol w:w="1653"/>
        <w:gridCol w:w="1653"/>
      </w:tblGrid>
      <w:tr>
        <w:trPr>
          <w:trHeight w:hRule="exact" w:val="296"/>
        </w:trPr>
        <w:tc>
          <w:tcPr>
            <w:tcW w:type="dxa" w:w="1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2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Emission</w:t>
            </w:r>
          </w:p>
        </w:tc>
        <w:tc>
          <w:tcPr>
            <w:tcW w:type="dxa" w:w="41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Category Description</w:t>
            </w:r>
          </w:p>
        </w:tc>
        <w:tc>
          <w:tcPr>
            <w:tcW w:type="dxa" w:w="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GHG</w:t>
            </w:r>
          </w:p>
        </w:tc>
        <w:tc>
          <w:tcPr>
            <w:tcW w:type="dxa" w:w="7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Units</w:t>
            </w:r>
          </w:p>
        </w:tc>
        <w:tc>
          <w:tcPr>
            <w:tcW w:type="dxa" w:w="1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Contribution</w:t>
            </w:r>
          </w:p>
        </w:tc>
        <w:tc>
          <w:tcPr>
            <w:tcW w:type="dxa" w:w="10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30" w:after="0"/>
              <w:ind w:left="146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13.15%</w:t>
            </w:r>
          </w:p>
        </w:tc>
        <w:tc>
          <w:tcPr>
            <w:tcW w:type="dxa" w:w="15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18" w:after="0"/>
              <w:ind w:left="32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FFFFFF"/>
                <w:sz w:val="19"/>
              </w:rPr>
              <w:t>62.75%</w:t>
            </w:r>
          </w:p>
        </w:tc>
      </w:tr>
      <w:tr>
        <w:trPr>
          <w:trHeight w:hRule="exact" w:val="300"/>
        </w:trPr>
        <w:tc>
          <w:tcPr>
            <w:tcW w:type="dxa" w:w="1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2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Category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Emission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(%)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1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4" w:after="0"/>
              <w:ind w:left="0" w:right="330" w:firstLine="0"/>
              <w:jc w:val="righ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1.4.</w:t>
            </w:r>
          </w:p>
        </w:tc>
        <w:tc>
          <w:tcPr>
            <w:tcW w:type="dxa" w:w="4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Direct fugitive emissions from the release of GHGs</w:t>
            </w:r>
          </w:p>
        </w:tc>
        <w:tc>
          <w:tcPr>
            <w:tcW w:type="dxa" w:w="8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22,550</w:t>
            </w:r>
          </w:p>
        </w:tc>
        <w:tc>
          <w:tcPr>
            <w:tcW w:type="dxa" w:w="7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kgCO₂e</w:t>
            </w:r>
          </w:p>
        </w:tc>
        <w:tc>
          <w:tcPr>
            <w:tcW w:type="dxa" w:w="11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62.75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1653"/>
            <w:vMerge/>
            <w:tcBorders/>
          </w:tcPr>
          <w:p/>
        </w:tc>
        <w:tc>
          <w:tcPr>
            <w:tcW w:type="dxa" w:w="4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in anthropogenic systems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11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26" w:after="0"/>
              <w:ind w:left="0" w:right="330" w:firstLine="0"/>
              <w:jc w:val="righ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3.4.</w:t>
            </w:r>
          </w:p>
        </w:tc>
        <w:tc>
          <w:tcPr>
            <w:tcW w:type="dxa" w:w="4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Indirect GHG emissions from client and visitor</w:t>
            </w:r>
          </w:p>
        </w:tc>
        <w:tc>
          <w:tcPr>
            <w:tcW w:type="dxa" w:w="8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2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4,724.17</w:t>
            </w:r>
          </w:p>
        </w:tc>
        <w:tc>
          <w:tcPr>
            <w:tcW w:type="dxa" w:w="7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2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kgCO₂e</w:t>
            </w:r>
          </w:p>
        </w:tc>
        <w:tc>
          <w:tcPr>
            <w:tcW w:type="dxa" w:w="11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2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13.15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653"/>
            <w:vMerge/>
            <w:tcBorders/>
          </w:tcPr>
          <w:p/>
        </w:tc>
        <w:tc>
          <w:tcPr>
            <w:tcW w:type="dxa" w:w="4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2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transport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11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0" w:after="0"/>
              <w:ind w:left="0" w:right="330" w:firstLine="0"/>
              <w:jc w:val="righ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1.2.</w:t>
            </w:r>
          </w:p>
        </w:tc>
        <w:tc>
          <w:tcPr>
            <w:tcW w:type="dxa" w:w="4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Direct GHG emissions &amp; removals from mobile</w:t>
            </w:r>
          </w:p>
        </w:tc>
        <w:tc>
          <w:tcPr>
            <w:tcW w:type="dxa" w:w="8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4,339.03</w:t>
            </w:r>
          </w:p>
        </w:tc>
        <w:tc>
          <w:tcPr>
            <w:tcW w:type="dxa" w:w="7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kgCO₂e</w:t>
            </w:r>
          </w:p>
        </w:tc>
        <w:tc>
          <w:tcPr>
            <w:tcW w:type="dxa" w:w="11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12.07</w:t>
            </w:r>
          </w:p>
        </w:tc>
        <w:tc>
          <w:tcPr>
            <w:tcW w:type="dxa" w:w="10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8" w:after="0"/>
              <w:ind w:left="12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12.07%</w:t>
            </w:r>
          </w:p>
        </w:tc>
        <w:tc>
          <w:tcPr>
            <w:tcW w:type="dxa" w:w="1653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1653"/>
            <w:vMerge/>
            <w:tcBorders/>
          </w:tcPr>
          <w:p/>
        </w:tc>
        <w:tc>
          <w:tcPr>
            <w:tcW w:type="dxa" w:w="4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combustion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</w:tr>
      <w:tr>
        <w:trPr>
          <w:trHeight w:hRule="exact" w:val="310"/>
        </w:trPr>
        <w:tc>
          <w:tcPr>
            <w:tcW w:type="dxa" w:w="1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0" w:right="330" w:firstLine="0"/>
              <w:jc w:val="righ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2.1.</w:t>
            </w:r>
          </w:p>
        </w:tc>
        <w:tc>
          <w:tcPr>
            <w:tcW w:type="dxa" w:w="4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Indirect GHG emissions from imported electricity</w:t>
            </w:r>
          </w:p>
        </w:tc>
        <w:tc>
          <w:tcPr>
            <w:tcW w:type="dxa" w:w="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3,154</w:t>
            </w:r>
          </w:p>
        </w:tc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kgCO₂e</w:t>
            </w:r>
          </w:p>
        </w:tc>
        <w:tc>
          <w:tcPr>
            <w:tcW w:type="dxa" w:w="1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8.78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12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8.78%</w:t>
            </w:r>
          </w:p>
        </w:tc>
        <w:tc>
          <w:tcPr>
            <w:tcW w:type="dxa" w:w="165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3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</wp:posOffset>
            </wp:positionH>
            <wp:positionV relativeFrom="page">
              <wp:posOffset>114300</wp:posOffset>
            </wp:positionV>
            <wp:extent cx="7061200" cy="10033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1003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1653"/>
        <w:gridCol w:w="1653"/>
        <w:gridCol w:w="1653"/>
        <w:gridCol w:w="1653"/>
        <w:gridCol w:w="1653"/>
        <w:gridCol w:w="1653"/>
        <w:gridCol w:w="1653"/>
      </w:tblGrid>
      <w:tr>
        <w:trPr>
          <w:trHeight w:hRule="exact" w:val="236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Emission</w:t>
            </w:r>
          </w:p>
        </w:tc>
        <w:tc>
          <w:tcPr>
            <w:tcW w:type="dxa" w:w="3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00" w:after="0"/>
              <w:ind w:left="0" w:right="1064" w:firstLine="0"/>
              <w:jc w:val="righ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Category Description</w:t>
            </w:r>
          </w:p>
        </w:tc>
        <w:tc>
          <w:tcPr>
            <w:tcW w:type="dxa" w:w="1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41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GHG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Contribution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14" w:after="0"/>
              <w:ind w:left="12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1.8%</w:t>
            </w:r>
          </w:p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926" w:after="0"/>
              <w:ind w:left="0" w:right="720" w:firstLine="0"/>
              <w:jc w:val="righ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1.47%</w:t>
            </w:r>
          </w:p>
        </w:tc>
      </w:tr>
      <w:tr>
        <w:trPr>
          <w:trHeight w:hRule="exact" w:val="30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Category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4" w:after="0"/>
              <w:ind w:left="24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Emission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Units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(%)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3.5.</w:t>
            </w:r>
          </w:p>
        </w:tc>
        <w:tc>
          <w:tcPr>
            <w:tcW w:type="dxa" w:w="3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264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Indirect GHG emissions from business travel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0" w:right="158" w:firstLine="0"/>
              <w:jc w:val="righ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645.22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kgCO₂e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1.8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Others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0" w:after="0"/>
              <w:ind w:left="0" w:right="158" w:firstLine="0"/>
              <w:jc w:val="righ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525.70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kgCO₂e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1.47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</w:tr>
      <w:tr>
        <w:trPr>
          <w:trHeight w:hRule="exact" w:val="31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Total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20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35,938.12 kgCO₂e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1653"/>
            <w:vMerge/>
            <w:tcBorders/>
          </w:tcPr>
          <w:p/>
        </w:tc>
        <w:tc>
          <w:tcPr>
            <w:tcW w:type="dxa" w:w="165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7" w:lineRule="auto" w:before="54" w:after="0"/>
        <w:ind w:left="0" w:right="0" w:firstLine="0"/>
        <w:jc w:val="center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Table 5: Evercomm Taiwan Pte Ltd's top 5 emissions hotspot categories</w:t>
      </w:r>
    </w:p>
    <w:p>
      <w:pPr>
        <w:autoSpaceDN w:val="0"/>
        <w:autoSpaceDE w:val="0"/>
        <w:widowControl/>
        <w:spacing w:line="197" w:lineRule="auto" w:before="1012" w:after="0"/>
        <w:ind w:left="288" w:right="0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>12. Direct Emissions by gas type (summary)</w:t>
      </w:r>
    </w:p>
    <w:p>
      <w:pPr>
        <w:autoSpaceDN w:val="0"/>
        <w:autoSpaceDE w:val="0"/>
        <w:widowControl/>
        <w:spacing w:line="199" w:lineRule="auto" w:before="344" w:after="240"/>
        <w:ind w:left="288" w:right="0" w:firstLine="0"/>
        <w:jc w:val="left"/>
      </w:pP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Direct Emission (1-Jan-2022 to 31-Dec-2022)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285"/>
        <w:gridCol w:w="1285"/>
        <w:gridCol w:w="1285"/>
        <w:gridCol w:w="1285"/>
        <w:gridCol w:w="1285"/>
        <w:gridCol w:w="1285"/>
        <w:gridCol w:w="1285"/>
        <w:gridCol w:w="1285"/>
        <w:gridCol w:w="1285"/>
      </w:tblGrid>
      <w:tr>
        <w:trPr>
          <w:trHeight w:hRule="exact" w:val="758"/>
        </w:trPr>
        <w:tc>
          <w:tcPr>
            <w:tcW w:type="dxa" w:w="2346"/>
            <w:tcBorders>
              <w:start w:sz="4.800000000000011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Entity/Subsidiary/Facility</w:t>
            </w:r>
          </w:p>
        </w:tc>
        <w:tc>
          <w:tcPr>
            <w:tcW w:type="dxa" w:w="1674"/>
            <w:tcBorders>
              <w:start w:sz="4.800000000000182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144" w:after="0"/>
              <w:ind w:left="152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Carbon Dioxide </w:t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(CO₂)</w:t>
            </w:r>
          </w:p>
        </w:tc>
        <w:tc>
          <w:tcPr>
            <w:tcW w:type="dxa" w:w="1370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144" w:after="0"/>
              <w:ind w:left="154" w:right="432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Methane </w:t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(CH₄)</w:t>
            </w:r>
          </w:p>
        </w:tc>
        <w:tc>
          <w:tcPr>
            <w:tcW w:type="dxa" w:w="1600"/>
            <w:tcBorders>
              <w:start w:sz="4.800000000000182" w:val="single" w:color="#C7CCD0"/>
              <w:top w:sz="4.7999999999999545" w:val="single" w:color="#C7CCD0"/>
              <w:end w:sz="5.600000000000364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144" w:after="0"/>
              <w:ind w:left="154" w:right="288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Nitrous Oxide </w:t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(N₂O)</w:t>
            </w:r>
          </w:p>
        </w:tc>
        <w:tc>
          <w:tcPr>
            <w:tcW w:type="dxa" w:w="710"/>
            <w:tcBorders>
              <w:start w:sz="5.600000000000364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HFCs</w:t>
            </w:r>
          </w:p>
        </w:tc>
        <w:tc>
          <w:tcPr>
            <w:tcW w:type="dxa" w:w="698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PFCs</w:t>
            </w:r>
          </w:p>
        </w:tc>
        <w:tc>
          <w:tcPr>
            <w:tcW w:type="dxa" w:w="60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SF6</w:t>
            </w:r>
          </w:p>
        </w:tc>
        <w:tc>
          <w:tcPr>
            <w:tcW w:type="dxa" w:w="638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NF3</w:t>
            </w:r>
          </w:p>
        </w:tc>
        <w:tc>
          <w:tcPr>
            <w:tcW w:type="dxa" w:w="108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144" w:after="0"/>
              <w:ind w:left="144" w:right="432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Total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tCO₂e</w:t>
            </w:r>
          </w:p>
        </w:tc>
      </w:tr>
      <w:tr>
        <w:trPr>
          <w:trHeight w:hRule="exact" w:val="300"/>
        </w:trPr>
        <w:tc>
          <w:tcPr>
            <w:tcW w:type="dxa" w:w="2346"/>
            <w:tcBorders>
              <w:start w:sz="4.800000000000011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Evercomm Taiwan Pte Ltd</w:t>
            </w:r>
          </w:p>
        </w:tc>
        <w:tc>
          <w:tcPr>
            <w:tcW w:type="dxa" w:w="1674"/>
            <w:tcBorders>
              <w:start w:sz="4.800000000000182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26,956.06</w:t>
            </w:r>
          </w:p>
        </w:tc>
        <w:tc>
          <w:tcPr>
            <w:tcW w:type="dxa" w:w="1370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8.02</w:t>
            </w:r>
          </w:p>
        </w:tc>
        <w:tc>
          <w:tcPr>
            <w:tcW w:type="dxa" w:w="1600"/>
            <w:tcBorders>
              <w:start w:sz="4.800000000000182" w:val="single" w:color="#C7CCD0"/>
              <w:top w:sz="4.7999999999999545" w:val="single" w:color="#C7CCD0"/>
              <w:end w:sz="5.600000000000364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10.43</w:t>
            </w:r>
          </w:p>
        </w:tc>
        <w:tc>
          <w:tcPr>
            <w:tcW w:type="dxa" w:w="710"/>
            <w:tcBorders>
              <w:start w:sz="5.600000000000364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698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6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60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638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08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26.96</w:t>
            </w:r>
          </w:p>
        </w:tc>
      </w:tr>
      <w:tr>
        <w:trPr>
          <w:trHeight w:hRule="exact" w:val="446"/>
        </w:trPr>
        <w:tc>
          <w:tcPr>
            <w:tcW w:type="dxa" w:w="2346"/>
            <w:tcBorders>
              <w:start w:sz="4.800000000000011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Total</w:t>
            </w:r>
          </w:p>
        </w:tc>
        <w:tc>
          <w:tcPr>
            <w:tcW w:type="dxa" w:w="1674"/>
            <w:tcBorders>
              <w:start w:sz="4.800000000000182" w:val="single" w:color="#C7CCD0"/>
              <w:top w:sz="4.7999999999999545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26,956.06</w:t>
            </w:r>
          </w:p>
        </w:tc>
        <w:tc>
          <w:tcPr>
            <w:tcW w:type="dxa" w:w="1370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8.02</w:t>
            </w:r>
          </w:p>
        </w:tc>
        <w:tc>
          <w:tcPr>
            <w:tcW w:type="dxa" w:w="1600"/>
            <w:tcBorders>
              <w:start w:sz="4.800000000000182" w:val="single" w:color="#C7CCD0"/>
              <w:top w:sz="4.7999999999999545" w:val="single" w:color="#C7CCD0"/>
              <w:end w:sz="5.600000000000364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10.43</w:t>
            </w:r>
          </w:p>
        </w:tc>
        <w:tc>
          <w:tcPr>
            <w:tcW w:type="dxa" w:w="710"/>
            <w:tcBorders>
              <w:start w:sz="5.600000000000364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98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0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638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082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26.96</w:t>
            </w:r>
          </w:p>
        </w:tc>
      </w:tr>
    </w:tbl>
    <w:p>
      <w:pPr>
        <w:autoSpaceDN w:val="0"/>
        <w:autoSpaceDE w:val="0"/>
        <w:widowControl/>
        <w:spacing w:line="197" w:lineRule="auto" w:before="566" w:after="252"/>
        <w:ind w:left="288" w:right="0" w:firstLine="0"/>
        <w:jc w:val="left"/>
      </w:pP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Emission Source Identification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</w:tblGrid>
      <w:tr>
        <w:trPr>
          <w:trHeight w:hRule="exact" w:val="890"/>
        </w:trPr>
        <w:tc>
          <w:tcPr>
            <w:tcW w:type="dxa" w:w="518"/>
            <w:vMerge w:val="restart"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9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No.</w:t>
            </w:r>
          </w:p>
        </w:tc>
        <w:tc>
          <w:tcPr>
            <w:tcW w:type="dxa" w:w="1312"/>
            <w:vMerge w:val="restart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9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Name</w:t>
            </w:r>
          </w:p>
        </w:tc>
        <w:tc>
          <w:tcPr>
            <w:tcW w:type="dxa" w:w="1552"/>
            <w:vMerge w:val="restart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9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Emission Type</w:t>
            </w:r>
          </w:p>
        </w:tc>
        <w:tc>
          <w:tcPr>
            <w:tcW w:type="dxa" w:w="830"/>
            <w:vMerge w:val="restart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9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Biomass?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7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Categories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82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Categories1 </w:t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emission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type</w:t>
            </w:r>
          </w:p>
        </w:tc>
        <w:tc>
          <w:tcPr>
            <w:tcW w:type="dxa" w:w="4116"/>
            <w:gridSpan w:val="7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7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Types of greenhouse gases that may be produced</w:t>
            </w:r>
          </w:p>
        </w:tc>
        <w:tc>
          <w:tcPr>
            <w:tcW w:type="dxa" w:w="890"/>
            <w:vMerge w:val="restart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CO2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emission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equivalent </w:t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biomass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fuel</w:t>
            </w:r>
          </w:p>
        </w:tc>
      </w:tr>
      <w:tr>
        <w:trPr>
          <w:trHeight w:hRule="exact" w:val="422"/>
        </w:trPr>
        <w:tc>
          <w:tcPr>
            <w:tcW w:type="dxa" w:w="826"/>
            <w:vMerge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</w:tcPr>
          <w:p/>
        </w:tc>
        <w:tc>
          <w:tcPr>
            <w:tcW w:type="dxa" w:w="826"/>
            <w:vMerge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826"/>
            <w:vMerge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826"/>
            <w:vMerge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878"/>
            <w:tcBorders>
              <w:start w:sz="4.7999999999999545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(1-6)</w:t>
            </w:r>
          </w:p>
        </w:tc>
        <w:tc>
          <w:tcPr>
            <w:tcW w:type="dxa" w:w="962"/>
            <w:tcBorders>
              <w:start w:sz="4.800000000000182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(E,P,T,F)</w:t>
            </w:r>
          </w:p>
        </w:tc>
        <w:tc>
          <w:tcPr>
            <w:tcW w:type="dxa" w:w="746"/>
            <w:tcBorders>
              <w:start w:sz="4.800000000000182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CO2</w:t>
            </w:r>
          </w:p>
        </w:tc>
        <w:tc>
          <w:tcPr>
            <w:tcW w:type="dxa" w:w="554"/>
            <w:tcBorders>
              <w:start w:sz="4.799999999999727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CH4</w:t>
            </w:r>
          </w:p>
        </w:tc>
        <w:tc>
          <w:tcPr>
            <w:tcW w:type="dxa" w:w="554"/>
            <w:tcBorders>
              <w:start w:sz="4.800000000000182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N2O</w:t>
            </w:r>
          </w:p>
        </w:tc>
        <w:tc>
          <w:tcPr>
            <w:tcW w:type="dxa" w:w="588"/>
            <w:tcBorders>
              <w:start w:sz="4.800000000000182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HFCs</w:t>
            </w:r>
          </w:p>
        </w:tc>
        <w:tc>
          <w:tcPr>
            <w:tcW w:type="dxa" w:w="566"/>
            <w:tcBorders>
              <w:start w:sz="4.799999999999727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PFCs</w:t>
            </w:r>
          </w:p>
        </w:tc>
        <w:tc>
          <w:tcPr>
            <w:tcW w:type="dxa" w:w="554"/>
            <w:tcBorders>
              <w:start w:sz="4.800000000000182" w:val="single" w:color="#C7CCD0"/>
              <w:top w:sz="5.600000000000364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SF6</w:t>
            </w:r>
          </w:p>
        </w:tc>
        <w:tc>
          <w:tcPr>
            <w:tcW w:type="dxa" w:w="554"/>
            <w:tcBorders>
              <w:start w:sz="4.799999999999727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NF3</w:t>
            </w:r>
          </w:p>
        </w:tc>
        <w:tc>
          <w:tcPr>
            <w:tcW w:type="dxa" w:w="826"/>
            <w:vMerge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</w:tcPr>
          <w:p/>
        </w:tc>
      </w:tr>
      <w:tr>
        <w:trPr>
          <w:trHeight w:hRule="exact" w:val="734"/>
        </w:trPr>
        <w:tc>
          <w:tcPr>
            <w:tcW w:type="dxa" w:w="518"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31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Purchased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Electricity(Location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Based)</w:t>
            </w:r>
          </w:p>
        </w:tc>
        <w:tc>
          <w:tcPr>
            <w:tcW w:type="dxa" w:w="155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Purchased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Electricity(Location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Based)</w:t>
            </w:r>
          </w:p>
        </w:tc>
        <w:tc>
          <w:tcPr>
            <w:tcW w:type="dxa" w:w="830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204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Purchased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Electricity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0.69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3784.00</w:t>
            </w:r>
          </w:p>
        </w:tc>
      </w:tr>
      <w:tr>
        <w:trPr>
          <w:trHeight w:hRule="exact" w:val="542"/>
        </w:trPr>
        <w:tc>
          <w:tcPr>
            <w:tcW w:type="dxa" w:w="518"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31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Diesel Light-duty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Trucks</w:t>
            </w:r>
          </w:p>
        </w:tc>
        <w:tc>
          <w:tcPr>
            <w:tcW w:type="dxa" w:w="155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Diesel Fuel</w:t>
            </w:r>
          </w:p>
        </w:tc>
        <w:tc>
          <w:tcPr>
            <w:tcW w:type="dxa" w:w="830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Mobile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Combustion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10.21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8168.00</w:t>
            </w:r>
          </w:p>
        </w:tc>
      </w:tr>
      <w:tr>
        <w:trPr>
          <w:trHeight w:hRule="exact" w:val="540"/>
        </w:trPr>
        <w:tc>
          <w:tcPr>
            <w:tcW w:type="dxa" w:w="518"/>
            <w:tcBorders>
              <w:start w:sz="4.800000000000011" w:val="single" w:color="#C7CCD0"/>
              <w:top w:sz="4.799999999999727" w:val="single" w:color="#C7CCD0"/>
              <w:end w:sz="4.800000000000011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312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Chillers</w:t>
            </w:r>
          </w:p>
        </w:tc>
        <w:tc>
          <w:tcPr>
            <w:tcW w:type="dxa" w:w="1552"/>
            <w:tcBorders>
              <w:start w:sz="4.7999999999999545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Other Biomass Gases</w:t>
            </w:r>
          </w:p>
        </w:tc>
        <w:tc>
          <w:tcPr>
            <w:tcW w:type="dxa" w:w="830"/>
            <w:tcBorders>
              <w:start w:sz="4.7999999999999545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96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Stationary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Combustion</w:t>
            </w:r>
          </w:p>
        </w:tc>
        <w:tc>
          <w:tcPr>
            <w:tcW w:type="dxa" w:w="746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52.07</w:t>
            </w:r>
          </w:p>
        </w:tc>
        <w:tc>
          <w:tcPr>
            <w:tcW w:type="dxa" w:w="55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88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5779.77</w:t>
            </w:r>
          </w:p>
        </w:tc>
      </w:tr>
      <w:tr>
        <w:trPr>
          <w:trHeight w:hRule="exact" w:val="542"/>
        </w:trPr>
        <w:tc>
          <w:tcPr>
            <w:tcW w:type="dxa" w:w="518"/>
            <w:tcBorders>
              <w:start w:sz="4.800000000000011" w:val="single" w:color="#C7CCD0"/>
              <w:top w:sz="4.799999999999727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312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Chillers</w:t>
            </w:r>
          </w:p>
        </w:tc>
        <w:tc>
          <w:tcPr>
            <w:tcW w:type="dxa" w:w="1552"/>
            <w:tcBorders>
              <w:start w:sz="4.7999999999999545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Natural Gas</w:t>
            </w:r>
          </w:p>
        </w:tc>
        <w:tc>
          <w:tcPr>
            <w:tcW w:type="dxa" w:w="830"/>
            <w:tcBorders>
              <w:start w:sz="4.7999999999999545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96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10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Stationary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Combustion</w:t>
            </w:r>
          </w:p>
        </w:tc>
        <w:tc>
          <w:tcPr>
            <w:tcW w:type="dxa" w:w="746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0.05</w:t>
            </w:r>
          </w:p>
        </w:tc>
        <w:tc>
          <w:tcPr>
            <w:tcW w:type="dxa" w:w="55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88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60.48</w:t>
            </w:r>
          </w:p>
        </w:tc>
      </w:tr>
      <w:tr>
        <w:trPr>
          <w:trHeight w:hRule="exact" w:val="542"/>
        </w:trPr>
        <w:tc>
          <w:tcPr>
            <w:tcW w:type="dxa" w:w="518"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31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Boiler</w:t>
            </w:r>
          </w:p>
        </w:tc>
        <w:tc>
          <w:tcPr>
            <w:tcW w:type="dxa" w:w="155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Grass/straw</w:t>
            </w:r>
          </w:p>
        </w:tc>
        <w:tc>
          <w:tcPr>
            <w:tcW w:type="dxa" w:w="830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Stationary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Combustion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0.01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8.05</w:t>
            </w:r>
          </w:p>
        </w:tc>
      </w:tr>
      <w:tr>
        <w:trPr>
          <w:trHeight w:hRule="exact" w:val="734"/>
        </w:trPr>
        <w:tc>
          <w:tcPr>
            <w:tcW w:type="dxa" w:w="518"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131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Bus</w:t>
            </w:r>
          </w:p>
        </w:tc>
        <w:tc>
          <w:tcPr>
            <w:tcW w:type="dxa" w:w="155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Local Bus</w:t>
            </w:r>
          </w:p>
        </w:tc>
        <w:tc>
          <w:tcPr>
            <w:tcW w:type="dxa" w:w="830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Client and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Visitor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Transport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0.10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716.98</w:t>
            </w:r>
          </w:p>
        </w:tc>
      </w:tr>
      <w:tr>
        <w:trPr>
          <w:trHeight w:hRule="exact" w:val="734"/>
        </w:trPr>
        <w:tc>
          <w:tcPr>
            <w:tcW w:type="dxa" w:w="518"/>
            <w:tcBorders>
              <w:start w:sz="4.800000000000011" w:val="single" w:color="#C7CCD0"/>
              <w:top w:sz="4.799999999999272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7</w:t>
            </w:r>
          </w:p>
        </w:tc>
        <w:tc>
          <w:tcPr>
            <w:tcW w:type="dxa" w:w="1312"/>
            <w:tcBorders>
              <w:start w:sz="4.800000000000011" w:val="single" w:color="#C7CCD0"/>
              <w:top w:sz="4.79999999999927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Car</w:t>
            </w:r>
          </w:p>
        </w:tc>
        <w:tc>
          <w:tcPr>
            <w:tcW w:type="dxa" w:w="1552"/>
            <w:tcBorders>
              <w:start w:sz="4.7999999999999545" w:val="single" w:color="#C7CCD0"/>
              <w:top w:sz="4.79999999999927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Average Car - Diesel</w:t>
            </w:r>
          </w:p>
        </w:tc>
        <w:tc>
          <w:tcPr>
            <w:tcW w:type="dxa" w:w="830"/>
            <w:tcBorders>
              <w:start w:sz="4.7999999999999545" w:val="single" w:color="#C7CCD0"/>
              <w:top w:sz="4.79999999999927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62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Client and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Visitor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Transport</w:t>
            </w:r>
          </w:p>
        </w:tc>
        <w:tc>
          <w:tcPr>
            <w:tcW w:type="dxa" w:w="746"/>
            <w:tcBorders>
              <w:start w:sz="4.800000000000182" w:val="single" w:color="#C7CCD0"/>
              <w:top w:sz="4.79999999999927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0.28</w:t>
            </w:r>
          </w:p>
        </w:tc>
        <w:tc>
          <w:tcPr>
            <w:tcW w:type="dxa" w:w="554"/>
            <w:tcBorders>
              <w:start w:sz="4.799999999999727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88"/>
            <w:tcBorders>
              <w:start w:sz="4.800000000000182" w:val="single" w:color="#C7CCD0"/>
              <w:top w:sz="4.79999999999927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79999999999927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146.30</w:t>
            </w:r>
          </w:p>
        </w:tc>
      </w:tr>
      <w:tr>
        <w:trPr>
          <w:trHeight w:hRule="exact" w:val="734"/>
        </w:trPr>
        <w:tc>
          <w:tcPr>
            <w:tcW w:type="dxa" w:w="518"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131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Rail</w:t>
            </w:r>
          </w:p>
        </w:tc>
        <w:tc>
          <w:tcPr>
            <w:tcW w:type="dxa" w:w="155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International rail</w:t>
            </w:r>
          </w:p>
        </w:tc>
        <w:tc>
          <w:tcPr>
            <w:tcW w:type="dxa" w:w="830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Client and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Visitor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Transport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0.01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115.47</w:t>
            </w:r>
          </w:p>
        </w:tc>
      </w:tr>
      <w:tr>
        <w:trPr>
          <w:trHeight w:hRule="exact" w:val="734"/>
        </w:trPr>
        <w:tc>
          <w:tcPr>
            <w:tcW w:type="dxa" w:w="518"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9</w:t>
            </w:r>
          </w:p>
        </w:tc>
        <w:tc>
          <w:tcPr>
            <w:tcW w:type="dxa" w:w="131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Ferry</w:t>
            </w:r>
          </w:p>
        </w:tc>
        <w:tc>
          <w:tcPr>
            <w:tcW w:type="dxa" w:w="155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04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Ferry - Average (all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passenger)</w:t>
            </w:r>
          </w:p>
        </w:tc>
        <w:tc>
          <w:tcPr>
            <w:tcW w:type="dxa" w:w="830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Client and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Visitor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Transport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0.11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378.46</w:t>
            </w:r>
          </w:p>
        </w:tc>
      </w:tr>
      <w:tr>
        <w:trPr>
          <w:trHeight w:hRule="exact" w:val="540"/>
        </w:trPr>
        <w:tc>
          <w:tcPr>
            <w:tcW w:type="dxa" w:w="518"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10</w:t>
            </w:r>
          </w:p>
        </w:tc>
        <w:tc>
          <w:tcPr>
            <w:tcW w:type="dxa" w:w="131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Car</w:t>
            </w:r>
          </w:p>
        </w:tc>
        <w:tc>
          <w:tcPr>
            <w:tcW w:type="dxa" w:w="155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Private car (gasoline)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(2014)</w:t>
            </w:r>
          </w:p>
        </w:tc>
        <w:tc>
          <w:tcPr>
            <w:tcW w:type="dxa" w:w="830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Upstream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T&amp;D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0.12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55.89</w:t>
            </w:r>
          </w:p>
        </w:tc>
      </w:tr>
      <w:tr>
        <w:trPr>
          <w:trHeight w:hRule="exact" w:val="734"/>
        </w:trPr>
        <w:tc>
          <w:tcPr>
            <w:tcW w:type="dxa" w:w="518"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2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11</w:t>
            </w:r>
          </w:p>
        </w:tc>
        <w:tc>
          <w:tcPr>
            <w:tcW w:type="dxa" w:w="131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2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Chillers</w:t>
            </w:r>
          </w:p>
        </w:tc>
        <w:tc>
          <w:tcPr>
            <w:tcW w:type="dxa" w:w="155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06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CFC-11/R11 =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trichlorofluoromethane</w:t>
            </w:r>
          </w:p>
        </w:tc>
        <w:tc>
          <w:tcPr>
            <w:tcW w:type="dxa" w:w="830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2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2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Refrigerants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Fugitives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2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4750.00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2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2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2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2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2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2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2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19950.00</w:t>
            </w:r>
          </w:p>
        </w:tc>
      </w:tr>
      <w:tr>
        <w:trPr>
          <w:trHeight w:hRule="exact" w:val="1120"/>
        </w:trPr>
        <w:tc>
          <w:tcPr>
            <w:tcW w:type="dxa" w:w="518"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9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12</w:t>
            </w:r>
          </w:p>
        </w:tc>
        <w:tc>
          <w:tcPr>
            <w:tcW w:type="dxa" w:w="131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Industrial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Refrigeration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including Food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Processing and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Cold Storage</w:t>
            </w:r>
          </w:p>
        </w:tc>
        <w:tc>
          <w:tcPr>
            <w:tcW w:type="dxa" w:w="155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9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HFC-134a (R-134a)</w:t>
            </w:r>
          </w:p>
        </w:tc>
        <w:tc>
          <w:tcPr>
            <w:tcW w:type="dxa" w:w="830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9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9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02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Refrigerants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Fugitives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9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1300.00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9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9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9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9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9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9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9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2600.00</w:t>
            </w:r>
          </w:p>
        </w:tc>
      </w:tr>
      <w:tr>
        <w:trPr>
          <w:trHeight w:hRule="exact" w:val="520"/>
        </w:trPr>
        <w:tc>
          <w:tcPr>
            <w:tcW w:type="dxa" w:w="518"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13</w:t>
            </w:r>
          </w:p>
        </w:tc>
        <w:tc>
          <w:tcPr>
            <w:tcW w:type="dxa" w:w="131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Car</w:t>
            </w:r>
          </w:p>
        </w:tc>
        <w:tc>
          <w:tcPr>
            <w:tcW w:type="dxa" w:w="155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8" w:after="0"/>
              <w:ind w:left="288" w:right="288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Taiwan Passenger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Vehicle</w:t>
            </w:r>
          </w:p>
        </w:tc>
        <w:tc>
          <w:tcPr>
            <w:tcW w:type="dxa" w:w="830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Business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Travel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0.12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460.00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132" w:right="150" w:bottom="88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</w:tblGrid>
      <w:tr>
        <w:trPr>
          <w:trHeight w:hRule="exact" w:val="890"/>
        </w:trPr>
        <w:tc>
          <w:tcPr>
            <w:tcW w:type="dxa" w:w="518"/>
            <w:vMerge w:val="restart"/>
            <w:tcBorders>
              <w:start w:sz="4.800000000000011" w:val="single" w:color="#C7CCD0"/>
              <w:top w:sz="4.799999999999997" w:val="single" w:color="#C7CCD0"/>
              <w:end w:sz="4.800000000000011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9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No.</w:t>
            </w:r>
          </w:p>
        </w:tc>
        <w:tc>
          <w:tcPr>
            <w:tcW w:type="dxa" w:w="1312"/>
            <w:vMerge w:val="restart"/>
            <w:tcBorders>
              <w:start w:sz="4.800000000000011" w:val="single" w:color="#C7CCD0"/>
              <w:top w:sz="4.799999999999997" w:val="single" w:color="#C7CCD0"/>
              <w:end w:sz="4.7999999999999545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9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Name</w:t>
            </w:r>
          </w:p>
        </w:tc>
        <w:tc>
          <w:tcPr>
            <w:tcW w:type="dxa" w:w="1552"/>
            <w:vMerge w:val="restart"/>
            <w:tcBorders>
              <w:start w:sz="4.7999999999999545" w:val="single" w:color="#C7CCD0"/>
              <w:top w:sz="4.799999999999997" w:val="single" w:color="#C7CCD0"/>
              <w:end w:sz="4.7999999999999545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9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Emission Type</w:t>
            </w:r>
          </w:p>
        </w:tc>
        <w:tc>
          <w:tcPr>
            <w:tcW w:type="dxa" w:w="830"/>
            <w:vMerge w:val="restart"/>
            <w:tcBorders>
              <w:start w:sz="4.7999999999999545" w:val="single" w:color="#C7CCD0"/>
              <w:top w:sz="4.799999999999997" w:val="single" w:color="#C7CCD0"/>
              <w:end w:sz="4.7999999999999545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9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Biomass?</w:t>
            </w:r>
          </w:p>
        </w:tc>
        <w:tc>
          <w:tcPr>
            <w:tcW w:type="dxa" w:w="878"/>
            <w:tcBorders>
              <w:start w:sz="4.7999999999999545" w:val="single" w:color="#C7CCD0"/>
              <w:top w:sz="4.799999999999997" w:val="single" w:color="#C7CCD0"/>
              <w:end w:sz="4.800000000000182" w:val="single" w:color="#C7CCD0"/>
              <w:bottom w:sz="4.800000000000011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7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Categories</w:t>
            </w:r>
          </w:p>
        </w:tc>
        <w:tc>
          <w:tcPr>
            <w:tcW w:type="dxa" w:w="962"/>
            <w:tcBorders>
              <w:start w:sz="4.800000000000182" w:val="single" w:color="#C7CCD0"/>
              <w:top w:sz="4.799999999999997" w:val="single" w:color="#C7CCD0"/>
              <w:end w:sz="4.800000000000182" w:val="single" w:color="#C7CCD0"/>
              <w:bottom w:sz="4.800000000000011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80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Categories1 </w:t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emission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type</w:t>
            </w:r>
          </w:p>
        </w:tc>
        <w:tc>
          <w:tcPr>
            <w:tcW w:type="dxa" w:w="4116"/>
            <w:gridSpan w:val="7"/>
            <w:tcBorders>
              <w:start w:sz="4.800000000000182" w:val="single" w:color="#C7CCD0"/>
              <w:top w:sz="4.799999999999997" w:val="single" w:color="#C7CCD0"/>
              <w:end w:sz="4.800000000000182" w:val="single" w:color="#C7CCD0"/>
              <w:bottom w:sz="4.800000000000011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7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Types of greenhouse gases that may be produced</w:t>
            </w:r>
          </w:p>
        </w:tc>
        <w:tc>
          <w:tcPr>
            <w:tcW w:type="dxa" w:w="890"/>
            <w:vMerge w:val="restart"/>
            <w:tcBorders>
              <w:start w:sz="4.800000000000182" w:val="single" w:color="#C7CCD0"/>
              <w:top w:sz="4.799999999999997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CO2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emission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equivalent </w:t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 xml:space="preserve">biomass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fuel</w:t>
            </w:r>
          </w:p>
        </w:tc>
      </w:tr>
      <w:tr>
        <w:trPr>
          <w:trHeight w:hRule="exact" w:val="422"/>
        </w:trPr>
        <w:tc>
          <w:tcPr>
            <w:tcW w:type="dxa" w:w="826"/>
            <w:vMerge/>
            <w:tcBorders>
              <w:start w:sz="4.800000000000011" w:val="single" w:color="#C7CCD0"/>
              <w:top w:sz="4.799999999999997" w:val="single" w:color="#C7CCD0"/>
              <w:end w:sz="4.800000000000011" w:val="single" w:color="#C7CCD0"/>
              <w:bottom w:sz="4.800000000000068" w:val="single" w:color="#C7CCD0"/>
            </w:tcBorders>
          </w:tcPr>
          <w:p/>
        </w:tc>
        <w:tc>
          <w:tcPr>
            <w:tcW w:type="dxa" w:w="826"/>
            <w:vMerge/>
            <w:tcBorders>
              <w:start w:sz="4.800000000000011" w:val="single" w:color="#C7CCD0"/>
              <w:top w:sz="4.799999999999997" w:val="single" w:color="#C7CCD0"/>
              <w:end w:sz="4.7999999999999545" w:val="single" w:color="#C7CCD0"/>
              <w:bottom w:sz="4.800000000000068" w:val="single" w:color="#C7CCD0"/>
            </w:tcBorders>
          </w:tcPr>
          <w:p/>
        </w:tc>
        <w:tc>
          <w:tcPr>
            <w:tcW w:type="dxa" w:w="826"/>
            <w:vMerge/>
            <w:tcBorders>
              <w:start w:sz="4.7999999999999545" w:val="single" w:color="#C7CCD0"/>
              <w:top w:sz="4.799999999999997" w:val="single" w:color="#C7CCD0"/>
              <w:end w:sz="4.7999999999999545" w:val="single" w:color="#C7CCD0"/>
              <w:bottom w:sz="4.800000000000068" w:val="single" w:color="#C7CCD0"/>
            </w:tcBorders>
          </w:tcPr>
          <w:p/>
        </w:tc>
        <w:tc>
          <w:tcPr>
            <w:tcW w:type="dxa" w:w="826"/>
            <w:vMerge/>
            <w:tcBorders>
              <w:start w:sz="4.7999999999999545" w:val="single" w:color="#C7CCD0"/>
              <w:top w:sz="4.799999999999997" w:val="single" w:color="#C7CCD0"/>
              <w:end w:sz="4.7999999999999545" w:val="single" w:color="#C7CCD0"/>
              <w:bottom w:sz="4.800000000000068" w:val="single" w:color="#C7CCD0"/>
            </w:tcBorders>
          </w:tcPr>
          <w:p/>
        </w:tc>
        <w:tc>
          <w:tcPr>
            <w:tcW w:type="dxa" w:w="878"/>
            <w:tcBorders>
              <w:start w:sz="4.7999999999999545" w:val="single" w:color="#C7CCD0"/>
              <w:top w:sz="4.800000000000011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(1-6)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011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(E,P,T,F)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011" w:val="single" w:color="#C7CCD0"/>
              <w:end w:sz="4.799999999999727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CO2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011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CH4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011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N2O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011" w:val="single" w:color="#C7CCD0"/>
              <w:end w:sz="4.799999999999727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HFCs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011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PFCs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011" w:val="single" w:color="#C7CCD0"/>
              <w:end w:sz="4.799999999999727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SF6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011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/>
                <w:i w:val="0"/>
                <w:color w:val="000000"/>
                <w:sz w:val="13"/>
              </w:rPr>
              <w:t>NF3</w:t>
            </w:r>
          </w:p>
        </w:tc>
        <w:tc>
          <w:tcPr>
            <w:tcW w:type="dxa" w:w="826"/>
            <w:vMerge/>
            <w:tcBorders>
              <w:start w:sz="4.800000000000182" w:val="single" w:color="#C7CCD0"/>
              <w:top w:sz="4.799999999999997" w:val="single" w:color="#C7CCD0"/>
              <w:end w:sz="4.800000000000182" w:val="single" w:color="#C7CCD0"/>
              <w:bottom w:sz="4.800000000000068" w:val="single" w:color="#C7CCD0"/>
            </w:tcBorders>
          </w:tcPr>
          <w:p/>
        </w:tc>
      </w:tr>
      <w:tr>
        <w:trPr>
          <w:trHeight w:hRule="exact" w:val="540"/>
        </w:trPr>
        <w:tc>
          <w:tcPr>
            <w:tcW w:type="dxa" w:w="518"/>
            <w:tcBorders>
              <w:start w:sz="4.800000000000011" w:val="single" w:color="#C7CCD0"/>
              <w:top w:sz="4.800000000000068" w:val="single" w:color="#C7CCD0"/>
              <w:end w:sz="4.800000000000011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14</w:t>
            </w:r>
          </w:p>
        </w:tc>
        <w:tc>
          <w:tcPr>
            <w:tcW w:type="dxa" w:w="1312"/>
            <w:tcBorders>
              <w:start w:sz="4.800000000000011" w:val="single" w:color="#C7CCD0"/>
              <w:top w:sz="4.800000000000068" w:val="single" w:color="#C7CCD0"/>
              <w:end w:sz="4.7999999999999545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Tour bus</w:t>
            </w:r>
          </w:p>
        </w:tc>
        <w:tc>
          <w:tcPr>
            <w:tcW w:type="dxa" w:w="1552"/>
            <w:tcBorders>
              <w:start w:sz="4.7999999999999545" w:val="single" w:color="#C7CCD0"/>
              <w:top w:sz="4.800000000000068" w:val="single" w:color="#C7CCD0"/>
              <w:end w:sz="4.7999999999999545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Tour bus(Diesel)(2014)</w:t>
            </w:r>
          </w:p>
        </w:tc>
        <w:tc>
          <w:tcPr>
            <w:tcW w:type="dxa" w:w="830"/>
            <w:tcBorders>
              <w:start w:sz="4.7999999999999545" w:val="single" w:color="#C7CCD0"/>
              <w:top w:sz="4.800000000000068" w:val="single" w:color="#C7CCD0"/>
              <w:end w:sz="4.7999999999999545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068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068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Business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Travel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068" w:val="single" w:color="#C7CCD0"/>
              <w:end w:sz="4.799999999999727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0.04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068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068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068" w:val="single" w:color="#C7CCD0"/>
              <w:end w:sz="4.799999999999727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068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068" w:val="single" w:color="#C7CCD0"/>
              <w:end w:sz="4.799999999999727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068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800000000000068" w:val="single" w:color="#C7CCD0"/>
              <w:end w:sz="4.800000000000182" w:val="single" w:color="#C7CCD0"/>
              <w:bottom w:sz="4.800000000000068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185.22</w:t>
            </w:r>
          </w:p>
        </w:tc>
      </w:tr>
      <w:tr>
        <w:trPr>
          <w:trHeight w:hRule="exact" w:val="542"/>
        </w:trPr>
        <w:tc>
          <w:tcPr>
            <w:tcW w:type="dxa" w:w="518"/>
            <w:tcBorders>
              <w:start w:sz="4.800000000000011" w:val="single" w:color="#C7CCD0"/>
              <w:top w:sz="4.800000000000068" w:val="single" w:color="#C7CCD0"/>
              <w:end w:sz="4.800000000000011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312"/>
            <w:tcBorders>
              <w:start w:sz="4.800000000000011" w:val="single" w:color="#C7CCD0"/>
              <w:top w:sz="4.800000000000068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Rail</w:t>
            </w:r>
          </w:p>
        </w:tc>
        <w:tc>
          <w:tcPr>
            <w:tcW w:type="dxa" w:w="1552"/>
            <w:tcBorders>
              <w:start w:sz="4.7999999999999545" w:val="single" w:color="#C7CCD0"/>
              <w:top w:sz="4.800000000000068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0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Taiwan High Speed ​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Rail</w:t>
            </w:r>
          </w:p>
          <w:p>
            <w:pPr>
              <w:autoSpaceDN w:val="0"/>
              <w:autoSpaceDE w:val="0"/>
              <w:widowControl/>
              <w:spacing w:line="197" w:lineRule="auto" w:before="6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(2021)</w:t>
            </w:r>
          </w:p>
        </w:tc>
        <w:tc>
          <w:tcPr>
            <w:tcW w:type="dxa" w:w="830"/>
            <w:tcBorders>
              <w:start w:sz="4.7999999999999545" w:val="single" w:color="#C7CCD0"/>
              <w:top w:sz="4.800000000000068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068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068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10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Business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Travel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068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0.03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068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068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068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068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068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068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800000000000068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25.60</w:t>
            </w:r>
          </w:p>
        </w:tc>
      </w:tr>
      <w:tr>
        <w:trPr>
          <w:trHeight w:hRule="exact" w:val="542"/>
        </w:trPr>
        <w:tc>
          <w:tcPr>
            <w:tcW w:type="dxa" w:w="518"/>
            <w:tcBorders>
              <w:start w:sz="4.800000000000011" w:val="single" w:color="#C7CCD0"/>
              <w:top w:sz="4.800000000000182" w:val="single" w:color="#C7CCD0"/>
              <w:end w:sz="4.800000000000011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16</w:t>
            </w:r>
          </w:p>
        </w:tc>
        <w:tc>
          <w:tcPr>
            <w:tcW w:type="dxa" w:w="131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Rail</w:t>
            </w:r>
          </w:p>
        </w:tc>
        <w:tc>
          <w:tcPr>
            <w:tcW w:type="dxa" w:w="155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Taiwan Railway Diesel </w:t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Train(2015)</w:t>
            </w:r>
          </w:p>
        </w:tc>
        <w:tc>
          <w:tcPr>
            <w:tcW w:type="dxa" w:w="830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6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Business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Travel</w:t>
            </w:r>
          </w:p>
        </w:tc>
        <w:tc>
          <w:tcPr>
            <w:tcW w:type="dxa" w:w="746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0.07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588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800000000000182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49.00</w:t>
            </w:r>
          </w:p>
        </w:tc>
      </w:tr>
      <w:tr>
        <w:trPr>
          <w:trHeight w:hRule="exact" w:val="540"/>
        </w:trPr>
        <w:tc>
          <w:tcPr>
            <w:tcW w:type="dxa" w:w="518"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17</w:t>
            </w:r>
          </w:p>
        </w:tc>
        <w:tc>
          <w:tcPr>
            <w:tcW w:type="dxa" w:w="1312"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Rail</w:t>
            </w:r>
          </w:p>
        </w:tc>
        <w:tc>
          <w:tcPr>
            <w:tcW w:type="dxa" w:w="1552"/>
            <w:tcBorders>
              <w:start w:sz="4.7999999999999545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Taiwan Rail</w:t>
            </w:r>
          </w:p>
        </w:tc>
        <w:tc>
          <w:tcPr>
            <w:tcW w:type="dxa" w:w="830"/>
            <w:tcBorders>
              <w:start w:sz="4.7999999999999545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62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8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Employee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Commuting</w:t>
            </w:r>
          </w:p>
        </w:tc>
        <w:tc>
          <w:tcPr>
            <w:tcW w:type="dxa" w:w="746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0.05</w:t>
            </w:r>
          </w:p>
        </w:tc>
        <w:tc>
          <w:tcPr>
            <w:tcW w:type="dxa" w:w="554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88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469.80</w:t>
            </w:r>
          </w:p>
        </w:tc>
      </w:tr>
      <w:tr>
        <w:trPr>
          <w:trHeight w:hRule="exact" w:val="542"/>
        </w:trPr>
        <w:tc>
          <w:tcPr>
            <w:tcW w:type="dxa" w:w="518"/>
            <w:tcBorders>
              <w:start w:sz="4.800000000000011" w:val="single" w:color="#C7CCD0"/>
              <w:top w:sz="4.7999999999999545" w:val="single" w:color="#C7CCD0"/>
              <w:end w:sz="4.800000000000011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18</w:t>
            </w:r>
          </w:p>
        </w:tc>
        <w:tc>
          <w:tcPr>
            <w:tcW w:type="dxa" w:w="1312"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Car</w:t>
            </w:r>
          </w:p>
        </w:tc>
        <w:tc>
          <w:tcPr>
            <w:tcW w:type="dxa" w:w="1552"/>
            <w:tcBorders>
              <w:start w:sz="4.7999999999999545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Average Car - Hybrid</w:t>
            </w:r>
          </w:p>
        </w:tc>
        <w:tc>
          <w:tcPr>
            <w:tcW w:type="dxa" w:w="830"/>
            <w:tcBorders>
              <w:start w:sz="4.7999999999999545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-</w:t>
            </w:r>
          </w:p>
        </w:tc>
        <w:tc>
          <w:tcPr>
            <w:tcW w:type="dxa" w:w="878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62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10" w:after="0"/>
              <w:ind w:left="144" w:right="144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 xml:space="preserve">Employee </w:t>
            </w:r>
            <w:r>
              <w:br/>
            </w: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Commuting</w:t>
            </w:r>
          </w:p>
        </w:tc>
        <w:tc>
          <w:tcPr>
            <w:tcW w:type="dxa" w:w="746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0.18</w:t>
            </w:r>
          </w:p>
        </w:tc>
        <w:tc>
          <w:tcPr>
            <w:tcW w:type="dxa" w:w="554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88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66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54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890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0" w:right="0" w:firstLine="0"/>
              <w:jc w:val="center"/>
            </w:pPr>
            <w:r>
              <w:rPr>
                <w:w w:val="98.65625088031476"/>
                <w:rFonts w:ascii="Calibri" w:hAnsi="Calibri" w:eastAsia="Calibri"/>
                <w:b w:val="0"/>
                <w:i w:val="0"/>
                <w:color w:val="000000"/>
                <w:sz w:val="13"/>
              </w:rPr>
              <w:t>567.28</w:t>
            </w:r>
          </w:p>
        </w:tc>
      </w:tr>
    </w:tbl>
    <w:p>
      <w:pPr>
        <w:autoSpaceDN w:val="0"/>
        <w:autoSpaceDE w:val="0"/>
        <w:widowControl/>
        <w:spacing w:line="197" w:lineRule="auto" w:before="976" w:after="260"/>
        <w:ind w:left="288" w:right="0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>12. Exclusions [automated template, edit by user-input text]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3856"/>
        <w:gridCol w:w="3856"/>
        <w:gridCol w:w="3856"/>
      </w:tblGrid>
      <w:tr>
        <w:trPr>
          <w:trHeight w:hRule="exact" w:val="446"/>
        </w:trPr>
        <w:tc>
          <w:tcPr>
            <w:tcW w:type="dxa" w:w="1072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 xml:space="preserve">Scope </w:t>
            </w:r>
          </w:p>
        </w:tc>
        <w:tc>
          <w:tcPr>
            <w:tcW w:type="dxa" w:w="3212"/>
            <w:tcBorders>
              <w:start w:sz="4.7999999999999545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28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 xml:space="preserve"> Sub-category</w:t>
            </w:r>
          </w:p>
        </w:tc>
        <w:tc>
          <w:tcPr>
            <w:tcW w:type="dxa" w:w="643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16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 xml:space="preserve">Reason for exclusion </w:t>
            </w:r>
          </w:p>
        </w:tc>
      </w:tr>
      <w:tr>
        <w:trPr>
          <w:trHeight w:hRule="exact" w:val="444"/>
        </w:trPr>
        <w:tc>
          <w:tcPr>
            <w:tcW w:type="dxa" w:w="107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1</w:t>
            </w:r>
          </w:p>
        </w:tc>
        <w:tc>
          <w:tcPr>
            <w:tcW w:type="dxa" w:w="321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1.1 Stationary Combustion</w:t>
            </w:r>
          </w:p>
        </w:tc>
        <w:tc>
          <w:tcPr>
            <w:tcW w:type="dxa" w:w="643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6"/>
        </w:trPr>
        <w:tc>
          <w:tcPr>
            <w:tcW w:type="dxa" w:w="1072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1</w:t>
            </w:r>
          </w:p>
        </w:tc>
        <w:tc>
          <w:tcPr>
            <w:tcW w:type="dxa" w:w="3212"/>
            <w:tcBorders>
              <w:start w:sz="4.7999999999999545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1.2 Mobile Combustion</w:t>
            </w:r>
          </w:p>
        </w:tc>
        <w:tc>
          <w:tcPr>
            <w:tcW w:type="dxa" w:w="643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34"/>
        </w:trPr>
        <w:tc>
          <w:tcPr>
            <w:tcW w:type="dxa" w:w="107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76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1</w:t>
            </w:r>
          </w:p>
        </w:tc>
        <w:tc>
          <w:tcPr>
            <w:tcW w:type="dxa" w:w="321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32" w:after="0"/>
              <w:ind w:left="158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1.3 Direct GHG Emissions &amp;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Removals from Industrial Processes</w:t>
            </w:r>
          </w:p>
        </w:tc>
        <w:tc>
          <w:tcPr>
            <w:tcW w:type="dxa" w:w="643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4"/>
        </w:trPr>
        <w:tc>
          <w:tcPr>
            <w:tcW w:type="dxa" w:w="1072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1</w:t>
            </w:r>
          </w:p>
        </w:tc>
        <w:tc>
          <w:tcPr>
            <w:tcW w:type="dxa" w:w="3212"/>
            <w:tcBorders>
              <w:start w:sz="4.7999999999999545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1.4 Fugitive Emissions</w:t>
            </w:r>
          </w:p>
        </w:tc>
        <w:tc>
          <w:tcPr>
            <w:tcW w:type="dxa" w:w="643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6"/>
        </w:trPr>
        <w:tc>
          <w:tcPr>
            <w:tcW w:type="dxa" w:w="1072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2</w:t>
            </w:r>
          </w:p>
        </w:tc>
        <w:tc>
          <w:tcPr>
            <w:tcW w:type="dxa" w:w="3212"/>
            <w:tcBorders>
              <w:start w:sz="4.7999999999999545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2.1 Imported Electricity</w:t>
            </w:r>
          </w:p>
        </w:tc>
        <w:tc>
          <w:tcPr>
            <w:tcW w:type="dxa" w:w="643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6"/>
        </w:trPr>
        <w:tc>
          <w:tcPr>
            <w:tcW w:type="dxa" w:w="1072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2</w:t>
            </w:r>
          </w:p>
        </w:tc>
        <w:tc>
          <w:tcPr>
            <w:tcW w:type="dxa" w:w="3212"/>
            <w:tcBorders>
              <w:start w:sz="4.7999999999999545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2.2 Imported Energy</w:t>
            </w:r>
          </w:p>
        </w:tc>
        <w:tc>
          <w:tcPr>
            <w:tcW w:type="dxa" w:w="643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34"/>
        </w:trPr>
        <w:tc>
          <w:tcPr>
            <w:tcW w:type="dxa" w:w="107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6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</w:t>
            </w:r>
          </w:p>
        </w:tc>
        <w:tc>
          <w:tcPr>
            <w:tcW w:type="dxa" w:w="321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32" w:after="0"/>
              <w:ind w:left="158" w:right="72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3.1 Upstream Transport and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Distribution for Goods</w:t>
            </w:r>
          </w:p>
        </w:tc>
        <w:tc>
          <w:tcPr>
            <w:tcW w:type="dxa" w:w="643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4"/>
        </w:trPr>
        <w:tc>
          <w:tcPr>
            <w:tcW w:type="dxa" w:w="1072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</w:t>
            </w:r>
          </w:p>
        </w:tc>
        <w:tc>
          <w:tcPr>
            <w:tcW w:type="dxa" w:w="3212"/>
            <w:tcBorders>
              <w:start w:sz="4.7999999999999545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3.3 Employee Commuting</w:t>
            </w:r>
          </w:p>
        </w:tc>
        <w:tc>
          <w:tcPr>
            <w:tcW w:type="dxa" w:w="643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6"/>
        </w:trPr>
        <w:tc>
          <w:tcPr>
            <w:tcW w:type="dxa" w:w="107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</w:t>
            </w:r>
          </w:p>
        </w:tc>
        <w:tc>
          <w:tcPr>
            <w:tcW w:type="dxa" w:w="321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3.4 Client and Visitor Transport</w:t>
            </w:r>
          </w:p>
        </w:tc>
        <w:tc>
          <w:tcPr>
            <w:tcW w:type="dxa" w:w="643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4"/>
        </w:trPr>
        <w:tc>
          <w:tcPr>
            <w:tcW w:type="dxa" w:w="107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</w:t>
            </w:r>
          </w:p>
        </w:tc>
        <w:tc>
          <w:tcPr>
            <w:tcW w:type="dxa" w:w="321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3.5 Business Travel</w:t>
            </w:r>
          </w:p>
        </w:tc>
        <w:tc>
          <w:tcPr>
            <w:tcW w:type="dxa" w:w="643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34"/>
        </w:trPr>
        <w:tc>
          <w:tcPr>
            <w:tcW w:type="dxa" w:w="107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8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</w:t>
            </w:r>
          </w:p>
        </w:tc>
        <w:tc>
          <w:tcPr>
            <w:tcW w:type="dxa" w:w="321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32" w:after="0"/>
              <w:ind w:left="158" w:right="86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4.1 Goods Purchased by an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Organization</w:t>
            </w:r>
          </w:p>
        </w:tc>
        <w:tc>
          <w:tcPr>
            <w:tcW w:type="dxa" w:w="643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34"/>
        </w:trPr>
        <w:tc>
          <w:tcPr>
            <w:tcW w:type="dxa" w:w="107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8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</w:t>
            </w:r>
          </w:p>
        </w:tc>
        <w:tc>
          <w:tcPr>
            <w:tcW w:type="dxa" w:w="321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32" w:after="0"/>
              <w:ind w:left="158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4.2 Capital Goods that are Purchased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and Amortized by an Organization</w:t>
            </w:r>
          </w:p>
        </w:tc>
        <w:tc>
          <w:tcPr>
            <w:tcW w:type="dxa" w:w="643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024"/>
        </w:trPr>
        <w:tc>
          <w:tcPr>
            <w:tcW w:type="dxa" w:w="1072"/>
            <w:tcBorders>
              <w:start w:sz="4.800000000000011" w:val="single" w:color="#C7CCD0"/>
              <w:top w:sz="4.79999999999927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</w:t>
            </w:r>
          </w:p>
        </w:tc>
        <w:tc>
          <w:tcPr>
            <w:tcW w:type="dxa" w:w="3212"/>
            <w:tcBorders>
              <w:start w:sz="4.7999999999999545" w:val="single" w:color="#C7CCD0"/>
              <w:top w:sz="4.79999999999927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158" w:right="432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4.3 Disposal Services (of solid or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liquid waste) Used by an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Organization</w:t>
            </w:r>
          </w:p>
        </w:tc>
        <w:tc>
          <w:tcPr>
            <w:tcW w:type="dxa" w:w="6436"/>
            <w:tcBorders>
              <w:start w:sz="4.7999999999999545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32"/>
        </w:trPr>
        <w:tc>
          <w:tcPr>
            <w:tcW w:type="dxa" w:w="107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6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</w:t>
            </w:r>
          </w:p>
        </w:tc>
        <w:tc>
          <w:tcPr>
            <w:tcW w:type="dxa" w:w="321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32" w:after="0"/>
              <w:ind w:left="158" w:right="432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4.4 Use of Assets (through leased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equipment) by an Organization</w:t>
            </w:r>
          </w:p>
        </w:tc>
        <w:tc>
          <w:tcPr>
            <w:tcW w:type="dxa" w:w="643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024"/>
        </w:trPr>
        <w:tc>
          <w:tcPr>
            <w:tcW w:type="dxa" w:w="107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</w:t>
            </w:r>
          </w:p>
        </w:tc>
        <w:tc>
          <w:tcPr>
            <w:tcW w:type="dxa" w:w="321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4" w:after="0"/>
              <w:ind w:left="158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4.5 Use of Services not Described in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the above sub-categories by an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Organization</w:t>
            </w:r>
          </w:p>
        </w:tc>
        <w:tc>
          <w:tcPr>
            <w:tcW w:type="dxa" w:w="643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4"/>
        </w:trPr>
        <w:tc>
          <w:tcPr>
            <w:tcW w:type="dxa" w:w="1072"/>
            <w:tcBorders>
              <w:start w:sz="4.800000000000011" w:val="single" w:color="#C7CCD0"/>
              <w:top w:sz="4.79999999999927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</w:t>
            </w:r>
          </w:p>
        </w:tc>
        <w:tc>
          <w:tcPr>
            <w:tcW w:type="dxa" w:w="3212"/>
            <w:tcBorders>
              <w:start w:sz="4.7999999999999545" w:val="single" w:color="#C7CCD0"/>
              <w:top w:sz="4.79999999999927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5.2 Downstream Leased Assets</w:t>
            </w:r>
          </w:p>
        </w:tc>
        <w:tc>
          <w:tcPr>
            <w:tcW w:type="dxa" w:w="6436"/>
            <w:tcBorders>
              <w:start w:sz="4.7999999999999545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6"/>
        </w:trPr>
        <w:tc>
          <w:tcPr>
            <w:tcW w:type="dxa" w:w="1072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</w:t>
            </w:r>
          </w:p>
        </w:tc>
        <w:tc>
          <w:tcPr>
            <w:tcW w:type="dxa" w:w="3212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5.3 End of Life Stage of the Product</w:t>
            </w:r>
          </w:p>
        </w:tc>
        <w:tc>
          <w:tcPr>
            <w:tcW w:type="dxa" w:w="643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3856"/>
        <w:gridCol w:w="3856"/>
        <w:gridCol w:w="3856"/>
      </w:tblGrid>
      <w:tr>
        <w:trPr>
          <w:trHeight w:hRule="exact" w:val="446"/>
        </w:trPr>
        <w:tc>
          <w:tcPr>
            <w:tcW w:type="dxa" w:w="1072"/>
            <w:tcBorders>
              <w:start w:sz="4.800000000000011" w:val="single" w:color="#C7CCD0"/>
              <w:top w:sz="4.799999999999997" w:val="single" w:color="#C7CCD0"/>
              <w:end w:sz="4.7999999999999545" w:val="single" w:color="#C7CCD0"/>
              <w:bottom w:sz="4.799999999999983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</w:t>
            </w:r>
          </w:p>
        </w:tc>
        <w:tc>
          <w:tcPr>
            <w:tcW w:type="dxa" w:w="3212"/>
            <w:tcBorders>
              <w:start w:sz="4.7999999999999545" w:val="single" w:color="#C7CCD0"/>
              <w:top w:sz="4.799999999999997" w:val="single" w:color="#C7CCD0"/>
              <w:end w:sz="4.7999999999999545" w:val="single" w:color="#C7CCD0"/>
              <w:bottom w:sz="4.799999999999983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5.4 Investments</w:t>
            </w:r>
          </w:p>
        </w:tc>
        <w:tc>
          <w:tcPr>
            <w:tcW w:type="dxa" w:w="6436"/>
            <w:tcBorders>
              <w:start w:sz="4.7999999999999545" w:val="single" w:color="#C7CCD0"/>
              <w:top w:sz="4.799999999999997" w:val="single" w:color="#C7CCD0"/>
              <w:end w:sz="4.800000000000182" w:val="single" w:color="#C7CCD0"/>
              <w:bottom w:sz="4.799999999999983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32"/>
        </w:trPr>
        <w:tc>
          <w:tcPr>
            <w:tcW w:type="dxa" w:w="1072"/>
            <w:tcBorders>
              <w:start w:sz="4.800000000000011" w:val="single" w:color="#C7CCD0"/>
              <w:top w:sz="4.799999999999983" w:val="single" w:color="#C7CCD0"/>
              <w:end w:sz="4.7999999999999545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6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3</w:t>
            </w:r>
          </w:p>
        </w:tc>
        <w:tc>
          <w:tcPr>
            <w:tcW w:type="dxa" w:w="3212"/>
            <w:tcBorders>
              <w:start w:sz="4.7999999999999545" w:val="single" w:color="#C7CCD0"/>
              <w:top w:sz="4.799999999999983" w:val="single" w:color="#C7CCD0"/>
              <w:end w:sz="4.7999999999999545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32" w:after="0"/>
              <w:ind w:left="158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6.1 GHG Emissions or Removals from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Other Sources</w:t>
            </w:r>
          </w:p>
        </w:tc>
        <w:tc>
          <w:tcPr>
            <w:tcW w:type="dxa" w:w="6436"/>
            <w:tcBorders>
              <w:start w:sz="4.7999999999999545" w:val="single" w:color="#C7CCD0"/>
              <w:top w:sz="4.799999999999983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97" w:lineRule="auto" w:before="278" w:after="0"/>
        <w:ind w:left="0" w:right="3218" w:firstLine="0"/>
        <w:jc w:val="righ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Table 6: Summary of excluded categories for current reporting period</w:t>
      </w:r>
    </w:p>
    <w:p>
      <w:pPr>
        <w:autoSpaceDN w:val="0"/>
        <w:autoSpaceDE w:val="0"/>
        <w:widowControl/>
        <w:spacing w:line="197" w:lineRule="auto" w:before="734" w:after="0"/>
        <w:ind w:left="288" w:right="0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>14. Emission Factors Summary</w:t>
      </w:r>
    </w:p>
    <w:p>
      <w:pPr>
        <w:autoSpaceDN w:val="0"/>
        <w:autoSpaceDE w:val="0"/>
        <w:widowControl/>
        <w:spacing w:line="197" w:lineRule="auto" w:before="358" w:after="242"/>
        <w:ind w:left="288" w:right="0" w:firstLine="0"/>
        <w:jc w:val="left"/>
      </w:pP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Emissions factors and units in the NxMap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3856"/>
        <w:gridCol w:w="3856"/>
        <w:gridCol w:w="3856"/>
      </w:tblGrid>
      <w:tr>
        <w:trPr>
          <w:trHeight w:hRule="exact" w:val="576"/>
        </w:trPr>
        <w:tc>
          <w:tcPr>
            <w:tcW w:type="dxa" w:w="976"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" w:after="0"/>
              <w:ind w:left="3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>Source</w:t>
            </w:r>
          </w:p>
        </w:tc>
        <w:tc>
          <w:tcPr>
            <w:tcW w:type="dxa" w:w="2178"/>
            <w:tcBorders>
              <w:start w:sz="4.7999999999999545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" w:after="0"/>
              <w:ind w:left="3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>URL Name</w:t>
            </w:r>
          </w:p>
        </w:tc>
        <w:tc>
          <w:tcPr>
            <w:tcW w:type="dxa" w:w="7530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" w:after="0"/>
              <w:ind w:left="3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>Website</w:t>
            </w:r>
          </w:p>
        </w:tc>
      </w:tr>
      <w:tr>
        <w:trPr>
          <w:trHeight w:hRule="exact" w:val="458"/>
        </w:trPr>
        <w:tc>
          <w:tcPr>
            <w:tcW w:type="dxa" w:w="976"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535356"/>
                <w:sz w:val="19"/>
              </w:rPr>
              <w:t>GHG</w:t>
            </w:r>
          </w:p>
        </w:tc>
        <w:tc>
          <w:tcPr>
            <w:tcW w:type="dxa" w:w="2178"/>
            <w:tcBorders>
              <w:start w:sz="4.7999999999999545" w:val="single" w:color="#C7CCD0"/>
              <w:top w:sz="4.7999999999999545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2" w:after="0"/>
              <w:ind w:left="16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GHG Protocol</w:t>
            </w:r>
          </w:p>
        </w:tc>
        <w:tc>
          <w:tcPr>
            <w:tcW w:type="dxa" w:w="7530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  <w:u w:val="single"/>
              </w:rPr>
              <w:hyperlink r:id="rId18" w:history="1">
                <w:r>
                  <w:rPr>
                    <w:rStyle w:val="Hyperlink"/>
                  </w:rPr>
                  <w:t>https://ghgprotocol.org/sites/default/files/GHG%20Emissions%20Calculation%20Tool_0.x</w:t>
                </w:r>
              </w:hyperlink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hyperlink r:id="rId18" w:history="1">
                <w:r>
                  <w:rPr>
                    <w:rStyle w:val="Hyperlink"/>
                  </w:rPr>
                  <w:t>lsx</w:t>
                </w:r>
              </w:hyperlink>
            </w:r>
          </w:p>
        </w:tc>
      </w:tr>
      <w:tr>
        <w:trPr>
          <w:trHeight w:hRule="exact" w:val="1022"/>
        </w:trPr>
        <w:tc>
          <w:tcPr>
            <w:tcW w:type="dxa" w:w="976"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420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535356"/>
                <w:sz w:val="19"/>
              </w:rPr>
              <w:t>DEFRA</w:t>
            </w:r>
          </w:p>
        </w:tc>
        <w:tc>
          <w:tcPr>
            <w:tcW w:type="dxa" w:w="2178"/>
            <w:tcBorders>
              <w:start w:sz="4.7999999999999545" w:val="single" w:color="#C7CCD0"/>
              <w:top w:sz="4.7999999999999545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160" w:right="288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GHG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Reporting:conversion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factors 2022</w:t>
            </w:r>
          </w:p>
        </w:tc>
        <w:tc>
          <w:tcPr>
            <w:tcW w:type="dxa" w:w="7530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276" w:after="0"/>
              <w:ind w:left="158" w:right="576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  <w:u w:val="single"/>
              </w:rPr>
              <w:hyperlink r:id="rId19" w:history="1">
                <w:r>
                  <w:rPr>
                    <w:rStyle w:val="Hyperlink"/>
                  </w:rPr>
                  <w:t>https://www.gov.uk/government/publications/greenhouse-gas-reporting-conversi</w:t>
                </w:r>
              </w:hyperlink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hyperlink r:id="rId19" w:history="1">
                <w:r>
                  <w:rPr>
                    <w:rStyle w:val="Hyperlink"/>
                  </w:rPr>
                  <w:t>on-</w:t>
                </w:r>
              </w:hyperlink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  <w:u w:val="single"/>
              </w:rPr>
              <w:hyperlink r:id="rId19" w:history="1">
                <w:r>
                  <w:rPr>
                    <w:rStyle w:val="Hyperlink"/>
                  </w:rPr>
                  <w:t>factors-2022</w:t>
                </w:r>
              </w:hyperlink>
            </w:r>
          </w:p>
        </w:tc>
      </w:tr>
      <w:tr>
        <w:trPr>
          <w:trHeight w:hRule="exact" w:val="734"/>
        </w:trPr>
        <w:tc>
          <w:tcPr>
            <w:tcW w:type="dxa" w:w="976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8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535356"/>
                <w:sz w:val="19"/>
              </w:rPr>
              <w:t>EPA</w:t>
            </w:r>
          </w:p>
        </w:tc>
        <w:tc>
          <w:tcPr>
            <w:tcW w:type="dxa" w:w="2178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32" w:after="0"/>
              <w:ind w:left="160" w:right="288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GHG Emission Factors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Hub</w:t>
            </w:r>
          </w:p>
        </w:tc>
        <w:tc>
          <w:tcPr>
            <w:tcW w:type="dxa" w:w="7530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8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  <w:u w:val="single"/>
              </w:rPr>
              <w:hyperlink r:id="rId20" w:history="1">
                <w:r>
                  <w:rPr>
                    <w:rStyle w:val="Hyperlink"/>
                  </w:rPr>
                  <w:t>https://www.epa.gov/climateleadership/ghg-emission-factors-hu</w:t>
                </w:r>
              </w:hyperlink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b</w:t>
            </w:r>
          </w:p>
        </w:tc>
      </w:tr>
      <w:tr>
        <w:trPr>
          <w:trHeight w:hRule="exact" w:val="998"/>
        </w:trPr>
        <w:tc>
          <w:tcPr>
            <w:tcW w:type="dxa" w:w="976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10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535356"/>
                <w:sz w:val="19"/>
              </w:rPr>
              <w:t>IPCC</w:t>
            </w:r>
          </w:p>
        </w:tc>
        <w:tc>
          <w:tcPr>
            <w:tcW w:type="dxa" w:w="2178"/>
            <w:tcBorders>
              <w:start w:sz="4.7999999999999545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56" w:after="0"/>
              <w:ind w:left="160" w:right="288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IPCC Emission Factor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Database</w:t>
            </w:r>
          </w:p>
        </w:tc>
        <w:tc>
          <w:tcPr>
            <w:tcW w:type="dxa" w:w="7530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10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  <w:u w:val="single"/>
              </w:rPr>
              <w:hyperlink r:id="rId21" w:history="1">
                <w:r>
                  <w:rPr>
                    <w:rStyle w:val="Hyperlink"/>
                  </w:rPr>
                  <w:t>https://www.ipcc-nggip.iges.or.jp/EFDB/find_ef.php?ipcc_code=3&amp;ipcc_level</w:t>
                </w:r>
              </w:hyperlink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=0</w:t>
            </w:r>
          </w:p>
        </w:tc>
      </w:tr>
      <w:tr>
        <w:trPr>
          <w:trHeight w:hRule="exact" w:val="1000"/>
        </w:trPr>
        <w:tc>
          <w:tcPr>
            <w:tcW w:type="dxa" w:w="976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535356"/>
                <w:sz w:val="19"/>
              </w:rPr>
              <w:t>IGES</w:t>
            </w:r>
          </w:p>
        </w:tc>
        <w:tc>
          <w:tcPr>
            <w:tcW w:type="dxa" w:w="2178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58" w:after="0"/>
              <w:ind w:left="144" w:right="576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IGES List of Grid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Emission Factors</w:t>
            </w:r>
          </w:p>
        </w:tc>
        <w:tc>
          <w:tcPr>
            <w:tcW w:type="dxa" w:w="7530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  <w:u w:val="single"/>
              </w:rPr>
              <w:hyperlink r:id="rId22" w:history="1">
                <w:r>
                  <w:rPr>
                    <w:rStyle w:val="Hyperlink"/>
                  </w:rPr>
                  <w:t>https://www.iges.or.jp/en/pub/list-grid-emission-factor/e</w:t>
                </w:r>
              </w:hyperlink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n</w:t>
            </w:r>
          </w:p>
        </w:tc>
      </w:tr>
      <w:tr>
        <w:trPr>
          <w:trHeight w:hRule="exact" w:val="1660"/>
        </w:trPr>
        <w:tc>
          <w:tcPr>
            <w:tcW w:type="dxa" w:w="976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600" w:after="0"/>
              <w:ind w:left="158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535356"/>
                <w:sz w:val="19"/>
              </w:rPr>
              <w:t xml:space="preserve">EPA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535356"/>
                <w:sz w:val="19"/>
              </w:rPr>
              <w:t>Taiwan</w:t>
            </w:r>
          </w:p>
        </w:tc>
        <w:tc>
          <w:tcPr>
            <w:tcW w:type="dxa" w:w="2178"/>
            <w:tcBorders>
              <w:start w:sz="4.7999999999999545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156" w:after="0"/>
              <w:ind w:left="160" w:right="288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2006 IPCC Guidelines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for National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 xml:space="preserve">Greenhouse Gas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Inventories</w:t>
            </w:r>
          </w:p>
        </w:tc>
        <w:tc>
          <w:tcPr>
            <w:tcW w:type="dxa" w:w="7530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46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  <w:u w:val="single"/>
              </w:rPr>
              <w:hyperlink r:id="rId23" w:history="1">
                <w:r>
                  <w:rPr>
                    <w:rStyle w:val="Hyperlink"/>
                  </w:rPr>
                  <w:t>https://www.ipcc-nggip.iges.or.jp/public/2006gl</w:t>
                </w:r>
              </w:hyperlink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/</w:t>
            </w:r>
          </w:p>
        </w:tc>
      </w:tr>
    </w:tbl>
    <w:p>
      <w:pPr>
        <w:autoSpaceDN w:val="0"/>
        <w:autoSpaceDE w:val="0"/>
        <w:widowControl/>
        <w:spacing w:line="197" w:lineRule="auto" w:before="288" w:after="242"/>
        <w:ind w:left="288" w:right="0" w:firstLine="0"/>
        <w:jc w:val="left"/>
      </w:pP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GWP Table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5784"/>
        <w:gridCol w:w="5784"/>
      </w:tblGrid>
      <w:tr>
        <w:trPr>
          <w:trHeight w:hRule="exact" w:val="444"/>
        </w:trPr>
        <w:tc>
          <w:tcPr>
            <w:tcW w:type="dxa" w:w="4934"/>
            <w:tcBorders>
              <w:start w:sz="4.800000000000011" w:val="single" w:color="#C7CCD0"/>
              <w:top w:sz="4.799999999999272" w:val="single" w:color="#C7CCD0"/>
              <w:end w:sz="4.799999999999727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 xml:space="preserve">Industrial Designation. </w:t>
            </w:r>
          </w:p>
        </w:tc>
        <w:tc>
          <w:tcPr>
            <w:tcW w:type="dxa" w:w="5786"/>
            <w:tcBorders>
              <w:start w:sz="4.799999999999727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28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202529"/>
                <w:sz w:val="19"/>
              </w:rPr>
              <w:t xml:space="preserve"> Fifth Assessment Report (AR5)</w:t>
            </w:r>
          </w:p>
        </w:tc>
      </w:tr>
      <w:tr>
        <w:trPr>
          <w:trHeight w:hRule="exact" w:val="446"/>
        </w:trPr>
        <w:tc>
          <w:tcPr>
            <w:tcW w:type="dxa" w:w="4934"/>
            <w:tcBorders>
              <w:start w:sz="4.800000000000011" w:val="single" w:color="#C7CCD0"/>
              <w:top w:sz="4.800000000000182" w:val="single" w:color="#C7CCD0"/>
              <w:end w:sz="4.799999999999727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Carbon dioxide</w:t>
            </w:r>
          </w:p>
        </w:tc>
        <w:tc>
          <w:tcPr>
            <w:tcW w:type="dxa" w:w="5786"/>
            <w:tcBorders>
              <w:start w:sz="4.799999999999727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1</w:t>
            </w:r>
          </w:p>
        </w:tc>
      </w:tr>
      <w:tr>
        <w:trPr>
          <w:trHeight w:hRule="exact" w:val="444"/>
        </w:trPr>
        <w:tc>
          <w:tcPr>
            <w:tcW w:type="dxa" w:w="4934"/>
            <w:tcBorders>
              <w:start w:sz="4.800000000000011" w:val="single" w:color="#C7CCD0"/>
              <w:top w:sz="4.799999999999272" w:val="single" w:color="#C7CCD0"/>
              <w:end w:sz="4.799999999999727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Methane</w:t>
            </w:r>
          </w:p>
        </w:tc>
        <w:tc>
          <w:tcPr>
            <w:tcW w:type="dxa" w:w="5786"/>
            <w:tcBorders>
              <w:start w:sz="4.799999999999727" w:val="single" w:color="#C7CCD0"/>
              <w:top w:sz="4.799999999999272" w:val="single" w:color="#C7CCD0"/>
              <w:end w:sz="4.800000000000182" w:val="single" w:color="#C7CCD0"/>
              <w:bottom w:sz="4.0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15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28</w:t>
            </w:r>
          </w:p>
        </w:tc>
      </w:tr>
      <w:tr>
        <w:trPr>
          <w:trHeight w:hRule="exact" w:val="446"/>
        </w:trPr>
        <w:tc>
          <w:tcPr>
            <w:tcW w:type="dxa" w:w="4934"/>
            <w:tcBorders>
              <w:start w:sz="4.800000000000011" w:val="single" w:color="#C7CCD0"/>
              <w:top w:sz="4.0" w:val="single" w:color="#C7CCD0"/>
              <w:end w:sz="4.799999999999727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Nitrous oxide</w:t>
            </w:r>
          </w:p>
        </w:tc>
        <w:tc>
          <w:tcPr>
            <w:tcW w:type="dxa" w:w="5786"/>
            <w:tcBorders>
              <w:start w:sz="4.799999999999727" w:val="single" w:color="#C7CCD0"/>
              <w:top w:sz="4.0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4" w:after="0"/>
              <w:ind w:left="15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202529"/>
                <w:sz w:val="19"/>
              </w:rPr>
              <w:t>265</w:t>
            </w:r>
          </w:p>
        </w:tc>
      </w:tr>
    </w:tbl>
    <w:p>
      <w:pPr>
        <w:autoSpaceDN w:val="0"/>
        <w:autoSpaceDE w:val="0"/>
        <w:widowControl/>
        <w:spacing w:line="259" w:lineRule="auto" w:before="288" w:after="0"/>
        <w:ind w:left="288" w:right="1008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"For the full list of GWP values, please refer to the GHG Protocol's official </w:t>
      </w:r>
      <w:r>
        <w:br/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website: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hyperlink r:id="rId24" w:history="1">
          <w:r>
            <w:rPr>
              <w:rStyle w:val="Hyperlink"/>
            </w:rPr>
            <w:t>https://ghgprotocol.org/sites/default/files/ghgp/Global-Warming-Potential-Values%20%28Feb%2016%202016%29_1.pdf</w:t>
          </w:r>
        </w:hyperlink>
      </w:r>
      <w:r>
        <w:rPr>
          <w:w w:val="101.3157894736842"/>
          <w:rFonts w:ascii="Segoe UI" w:hAnsi="Segoe UI" w:eastAsia="Segoe UI"/>
          <w:b w:val="0"/>
          <w:i w:val="0"/>
          <w:color w:val="000000"/>
          <w:sz w:val="19"/>
        </w:rPr>
        <w:t>".</w:t>
      </w:r>
    </w:p>
    <w:p>
      <w:pPr>
        <w:autoSpaceDN w:val="0"/>
        <w:autoSpaceDE w:val="0"/>
        <w:widowControl/>
        <w:spacing w:line="197" w:lineRule="auto" w:before="1974" w:after="0"/>
        <w:ind w:left="288" w:right="0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>15. Uncertainty Assessment</w:t>
      </w:r>
    </w:p>
    <w:p>
      <w:pPr>
        <w:autoSpaceDN w:val="0"/>
        <w:autoSpaceDE w:val="0"/>
        <w:widowControl/>
        <w:spacing w:line="247" w:lineRule="auto" w:before="320" w:after="0"/>
        <w:ind w:left="288" w:right="576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The uncertainty assessment is conducted based on Greenhouse Gas Protocol’s “Short Guidance for Calculating Measurement and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 xml:space="preserve">Estimation Uncertainty for GHG Emissions” 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  <w:u w:val="single"/>
        </w:rPr>
        <w:t>(https://ghgprotocol.org/sites/default/files/2023-03/ghg-uncertainty.pd</w:t>
      </w: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f) summarized using</w:t>
      </w: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240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the following steps:</w:t>
      </w:r>
    </w:p>
    <w:p>
      <w:pPr>
        <w:autoSpaceDN w:val="0"/>
        <w:autoSpaceDE w:val="0"/>
        <w:widowControl/>
        <w:spacing w:line="197" w:lineRule="auto" w:before="314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1.     Preparatory Data Assessment</w:t>
      </w:r>
    </w:p>
    <w:p>
      <w:pPr>
        <w:autoSpaceDN w:val="0"/>
        <w:autoSpaceDE w:val="0"/>
        <w:widowControl/>
        <w:spacing w:line="199" w:lineRule="auto" w:before="324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2.     Quantify identified uncertainties (direct and indirectly measured)</w:t>
      </w:r>
    </w:p>
    <w:p>
      <w:pPr>
        <w:autoSpaceDN w:val="0"/>
        <w:autoSpaceDE w:val="0"/>
        <w:widowControl/>
        <w:spacing w:line="197" w:lineRule="auto" w:before="324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3.     Combining uncertainties for activity data and emission factors</w:t>
      </w:r>
    </w:p>
    <w:p>
      <w:pPr>
        <w:autoSpaceDN w:val="0"/>
        <w:autoSpaceDE w:val="0"/>
        <w:widowControl/>
        <w:spacing w:line="197" w:lineRule="auto" w:before="338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4.     Aggregating uncertainties at site or company level</w:t>
      </w:r>
    </w:p>
    <w:p>
      <w:pPr>
        <w:autoSpaceDN w:val="0"/>
        <w:autoSpaceDE w:val="0"/>
        <w:widowControl/>
        <w:spacing w:line="199" w:lineRule="auto" w:before="324" w:after="0"/>
        <w:ind w:left="288" w:right="0" w:firstLine="0"/>
        <w:jc w:val="lef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5.     Document and interpret findings from uncertainty assessment</w:t>
      </w:r>
    </w:p>
    <w:p>
      <w:pPr>
        <w:autoSpaceDN w:val="0"/>
        <w:autoSpaceDE w:val="0"/>
        <w:widowControl/>
        <w:spacing w:line="197" w:lineRule="auto" w:before="324" w:after="48"/>
        <w:ind w:left="288" w:right="0" w:firstLine="0"/>
        <w:jc w:val="left"/>
      </w:pP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Uncertainty Table (1-Jan-2022 to 31-Dec-2022)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2314"/>
        <w:gridCol w:w="2314"/>
        <w:gridCol w:w="2314"/>
        <w:gridCol w:w="2314"/>
        <w:gridCol w:w="2314"/>
      </w:tblGrid>
      <w:tr>
        <w:trPr>
          <w:trHeight w:hRule="exact" w:val="758"/>
        </w:trPr>
        <w:tc>
          <w:tcPr>
            <w:tcW w:type="dxa" w:w="4188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6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Category</w:t>
            </w:r>
          </w:p>
        </w:tc>
        <w:tc>
          <w:tcPr>
            <w:tcW w:type="dxa" w:w="1564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6" w:after="0"/>
              <w:ind w:left="15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Scope</w:t>
            </w:r>
          </w:p>
        </w:tc>
        <w:tc>
          <w:tcPr>
            <w:tcW w:type="dxa" w:w="142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146" w:after="0"/>
              <w:ind w:left="156" w:right="432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Emission </w:t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(tCO₂e)</w:t>
            </w:r>
          </w:p>
        </w:tc>
        <w:tc>
          <w:tcPr>
            <w:tcW w:type="dxa" w:w="11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Proportion</w:t>
            </w:r>
          </w:p>
        </w:tc>
        <w:tc>
          <w:tcPr>
            <w:tcW w:type="dxa" w:w="23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6" w:after="0"/>
              <w:ind w:left="156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Uncertainty(%)</w:t>
            </w:r>
          </w:p>
        </w:tc>
      </w:tr>
      <w:tr>
        <w:trPr>
          <w:trHeight w:hRule="exact" w:val="302"/>
        </w:trPr>
        <w:tc>
          <w:tcPr>
            <w:tcW w:type="dxa" w:w="4188"/>
            <w:tcBorders>
              <w:start w:sz="4.800000000000011" w:val="single" w:color="#C7CCD0"/>
              <w:top w:sz="4.7999999999999545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Stationary Combustion</w:t>
            </w:r>
          </w:p>
        </w:tc>
        <w:tc>
          <w:tcPr>
            <w:tcW w:type="dxa" w:w="1564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1</w:t>
            </w:r>
          </w:p>
        </w:tc>
        <w:tc>
          <w:tcPr>
            <w:tcW w:type="dxa" w:w="1420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0"/>
        </w:trPr>
        <w:tc>
          <w:tcPr>
            <w:tcW w:type="dxa" w:w="4188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Mobile Combustion</w:t>
            </w:r>
          </w:p>
        </w:tc>
        <w:tc>
          <w:tcPr>
            <w:tcW w:type="dxa" w:w="1564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1</w:t>
            </w:r>
          </w:p>
        </w:tc>
        <w:tc>
          <w:tcPr>
            <w:tcW w:type="dxa" w:w="142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4.34</w:t>
            </w:r>
          </w:p>
        </w:tc>
        <w:tc>
          <w:tcPr>
            <w:tcW w:type="dxa" w:w="11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12.07</w:t>
            </w:r>
          </w:p>
        </w:tc>
        <w:tc>
          <w:tcPr>
            <w:tcW w:type="dxa" w:w="23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2"/>
        </w:trPr>
        <w:tc>
          <w:tcPr>
            <w:tcW w:type="dxa" w:w="4188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Industrial Processes</w:t>
            </w:r>
          </w:p>
        </w:tc>
        <w:tc>
          <w:tcPr>
            <w:tcW w:type="dxa" w:w="1564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1</w:t>
            </w:r>
          </w:p>
        </w:tc>
        <w:tc>
          <w:tcPr>
            <w:tcW w:type="dxa" w:w="142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0"/>
        </w:trPr>
        <w:tc>
          <w:tcPr>
            <w:tcW w:type="dxa" w:w="4188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Refrigerants and Fugitives</w:t>
            </w:r>
          </w:p>
        </w:tc>
        <w:tc>
          <w:tcPr>
            <w:tcW w:type="dxa" w:w="1564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1</w:t>
            </w:r>
          </w:p>
        </w:tc>
        <w:tc>
          <w:tcPr>
            <w:tcW w:type="dxa" w:w="142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22.55</w:t>
            </w:r>
          </w:p>
        </w:tc>
        <w:tc>
          <w:tcPr>
            <w:tcW w:type="dxa" w:w="11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62.75</w:t>
            </w:r>
          </w:p>
        </w:tc>
        <w:tc>
          <w:tcPr>
            <w:tcW w:type="dxa" w:w="23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0"/>
        </w:trPr>
        <w:tc>
          <w:tcPr>
            <w:tcW w:type="dxa" w:w="4188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Land Use, Land Use Change and Forestry (LULUCF)</w:t>
            </w:r>
          </w:p>
        </w:tc>
        <w:tc>
          <w:tcPr>
            <w:tcW w:type="dxa" w:w="1564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1</w:t>
            </w:r>
          </w:p>
        </w:tc>
        <w:tc>
          <w:tcPr>
            <w:tcW w:type="dxa" w:w="142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2"/>
        </w:trPr>
        <w:tc>
          <w:tcPr>
            <w:tcW w:type="dxa" w:w="4188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Purchased Electricity</w:t>
            </w:r>
          </w:p>
        </w:tc>
        <w:tc>
          <w:tcPr>
            <w:tcW w:type="dxa" w:w="1564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2</w:t>
            </w:r>
          </w:p>
        </w:tc>
        <w:tc>
          <w:tcPr>
            <w:tcW w:type="dxa" w:w="142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3.15</w:t>
            </w:r>
          </w:p>
        </w:tc>
        <w:tc>
          <w:tcPr>
            <w:tcW w:type="dxa" w:w="11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8.78</w:t>
            </w:r>
          </w:p>
        </w:tc>
        <w:tc>
          <w:tcPr>
            <w:tcW w:type="dxa" w:w="23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0"/>
        </w:trPr>
        <w:tc>
          <w:tcPr>
            <w:tcW w:type="dxa" w:w="4188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Imported Energy</w:t>
            </w:r>
          </w:p>
        </w:tc>
        <w:tc>
          <w:tcPr>
            <w:tcW w:type="dxa" w:w="1564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2</w:t>
            </w:r>
          </w:p>
        </w:tc>
        <w:tc>
          <w:tcPr>
            <w:tcW w:type="dxa" w:w="142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2"/>
        </w:trPr>
        <w:tc>
          <w:tcPr>
            <w:tcW w:type="dxa" w:w="4188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Upstream T&amp;D</w:t>
            </w:r>
          </w:p>
        </w:tc>
        <w:tc>
          <w:tcPr>
            <w:tcW w:type="dxa" w:w="1564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0.06</w:t>
            </w:r>
          </w:p>
        </w:tc>
        <w:tc>
          <w:tcPr>
            <w:tcW w:type="dxa" w:w="11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0.16</w:t>
            </w:r>
          </w:p>
        </w:tc>
        <w:tc>
          <w:tcPr>
            <w:tcW w:type="dxa" w:w="23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5.60000000000036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0"/>
        </w:trPr>
        <w:tc>
          <w:tcPr>
            <w:tcW w:type="dxa" w:w="4188"/>
            <w:tcBorders>
              <w:start w:sz="4.800000000000011" w:val="single" w:color="#C7CCD0"/>
              <w:top w:sz="5.600000000000364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Downstream T&amp;D</w:t>
            </w:r>
          </w:p>
        </w:tc>
        <w:tc>
          <w:tcPr>
            <w:tcW w:type="dxa" w:w="1564"/>
            <w:tcBorders>
              <w:start w:sz="4.7999999999999545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5.60000000000036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0"/>
        </w:trPr>
        <w:tc>
          <w:tcPr>
            <w:tcW w:type="dxa" w:w="4188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Employee Commuting</w:t>
            </w:r>
          </w:p>
        </w:tc>
        <w:tc>
          <w:tcPr>
            <w:tcW w:type="dxa" w:w="1564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0.47</w:t>
            </w:r>
          </w:p>
        </w:tc>
        <w:tc>
          <w:tcPr>
            <w:tcW w:type="dxa" w:w="11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1.31</w:t>
            </w:r>
          </w:p>
        </w:tc>
        <w:tc>
          <w:tcPr>
            <w:tcW w:type="dxa" w:w="23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2"/>
        </w:trPr>
        <w:tc>
          <w:tcPr>
            <w:tcW w:type="dxa" w:w="4188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Client and Visitor Transport</w:t>
            </w:r>
          </w:p>
        </w:tc>
        <w:tc>
          <w:tcPr>
            <w:tcW w:type="dxa" w:w="1564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4.72</w:t>
            </w:r>
          </w:p>
        </w:tc>
        <w:tc>
          <w:tcPr>
            <w:tcW w:type="dxa" w:w="11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13.15</w:t>
            </w:r>
          </w:p>
        </w:tc>
        <w:tc>
          <w:tcPr>
            <w:tcW w:type="dxa" w:w="23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0"/>
        </w:trPr>
        <w:tc>
          <w:tcPr>
            <w:tcW w:type="dxa" w:w="4188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Business Travel</w:t>
            </w:r>
          </w:p>
        </w:tc>
        <w:tc>
          <w:tcPr>
            <w:tcW w:type="dxa" w:w="1564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0.65</w:t>
            </w:r>
          </w:p>
        </w:tc>
        <w:tc>
          <w:tcPr>
            <w:tcW w:type="dxa" w:w="11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1.80</w:t>
            </w:r>
          </w:p>
        </w:tc>
        <w:tc>
          <w:tcPr>
            <w:tcW w:type="dxa" w:w="23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0"/>
        </w:trPr>
        <w:tc>
          <w:tcPr>
            <w:tcW w:type="dxa" w:w="4188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Purchased Goods</w:t>
            </w:r>
          </w:p>
        </w:tc>
        <w:tc>
          <w:tcPr>
            <w:tcW w:type="dxa" w:w="1564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590"/>
        </w:trPr>
        <w:tc>
          <w:tcPr>
            <w:tcW w:type="dxa" w:w="4188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Capital Goods that are Purchased and Amortized by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an Organization</w:t>
            </w:r>
          </w:p>
        </w:tc>
        <w:tc>
          <w:tcPr>
            <w:tcW w:type="dxa" w:w="1564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2"/>
        </w:trPr>
        <w:tc>
          <w:tcPr>
            <w:tcW w:type="dxa" w:w="4188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Waste</w:t>
            </w:r>
          </w:p>
        </w:tc>
        <w:tc>
          <w:tcPr>
            <w:tcW w:type="dxa" w:w="1564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588"/>
        </w:trPr>
        <w:tc>
          <w:tcPr>
            <w:tcW w:type="dxa" w:w="4188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72" w:right="288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Use of Assets (through leased equipment) by an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Organization</w:t>
            </w:r>
          </w:p>
        </w:tc>
        <w:tc>
          <w:tcPr>
            <w:tcW w:type="dxa" w:w="1564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590"/>
        </w:trPr>
        <w:tc>
          <w:tcPr>
            <w:tcW w:type="dxa" w:w="4188"/>
            <w:tcBorders>
              <w:start w:sz="4.800000000000011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288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Use of Services not Described in the above sub-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categories by an Organization</w:t>
            </w:r>
          </w:p>
        </w:tc>
        <w:tc>
          <w:tcPr>
            <w:tcW w:type="dxa" w:w="1564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6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2"/>
        </w:trPr>
        <w:tc>
          <w:tcPr>
            <w:tcW w:type="dxa" w:w="4188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Use Stage of the Product</w:t>
            </w:r>
          </w:p>
        </w:tc>
        <w:tc>
          <w:tcPr>
            <w:tcW w:type="dxa" w:w="1564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0"/>
        </w:trPr>
        <w:tc>
          <w:tcPr>
            <w:tcW w:type="dxa" w:w="4188"/>
            <w:tcBorders>
              <w:start w:sz="4.800000000000011" w:val="single" w:color="#C7CCD0"/>
              <w:top w:sz="4.79999999999927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Downstream Leased Assets</w:t>
            </w:r>
          </w:p>
        </w:tc>
        <w:tc>
          <w:tcPr>
            <w:tcW w:type="dxa" w:w="1564"/>
            <w:tcBorders>
              <w:start w:sz="4.7999999999999545" w:val="single" w:color="#C7CCD0"/>
              <w:top w:sz="4.79999999999927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0"/>
        </w:trPr>
        <w:tc>
          <w:tcPr>
            <w:tcW w:type="dxa" w:w="4188"/>
            <w:tcBorders>
              <w:start w:sz="4.800000000000011" w:val="single" w:color="#C7CCD0"/>
              <w:top w:sz="4.799999999999272" w:val="single" w:color="#C7CCD0"/>
              <w:end w:sz="4.7999999999999545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End of Life Stage of the Product</w:t>
            </w:r>
          </w:p>
        </w:tc>
        <w:tc>
          <w:tcPr>
            <w:tcW w:type="dxa" w:w="1564"/>
            <w:tcBorders>
              <w:start w:sz="4.7999999999999545" w:val="single" w:color="#C7CCD0"/>
              <w:top w:sz="4.79999999999927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2"/>
        </w:trPr>
        <w:tc>
          <w:tcPr>
            <w:tcW w:type="dxa" w:w="4188"/>
            <w:tcBorders>
              <w:start w:sz="4.800000000000011" w:val="single" w:color="#C7CCD0"/>
              <w:top w:sz="4.79999999999927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Investments</w:t>
            </w:r>
          </w:p>
        </w:tc>
        <w:tc>
          <w:tcPr>
            <w:tcW w:type="dxa" w:w="1564"/>
            <w:tcBorders>
              <w:start w:sz="4.7999999999999545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300"/>
        </w:trPr>
        <w:tc>
          <w:tcPr>
            <w:tcW w:type="dxa" w:w="4188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GHG Emissions or Removals from Other Sources</w:t>
            </w:r>
          </w:p>
        </w:tc>
        <w:tc>
          <w:tcPr>
            <w:tcW w:type="dxa" w:w="1564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3</w:t>
            </w:r>
          </w:p>
        </w:tc>
        <w:tc>
          <w:tcPr>
            <w:tcW w:type="dxa" w:w="142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11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  <w:tr>
        <w:trPr>
          <w:trHeight w:hRule="exact" w:val="734"/>
        </w:trPr>
        <w:tc>
          <w:tcPr>
            <w:tcW w:type="dxa" w:w="4188"/>
            <w:tcBorders>
              <w:start w:sz="4.800000000000011" w:val="single" w:color="#C7CCD0"/>
              <w:top w:sz="4.800000000000182" w:val="single" w:color="#C7CCD0"/>
              <w:end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6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Uncertain Analysis Emission</w:t>
            </w:r>
          </w:p>
        </w:tc>
        <w:tc>
          <w:tcPr>
            <w:tcW w:type="dxa" w:w="1564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62" w:after="0"/>
              <w:ind w:left="6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Scope1, Scope2,</w:t>
            </w:r>
          </w:p>
        </w:tc>
        <w:tc>
          <w:tcPr>
            <w:tcW w:type="dxa" w:w="142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6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35.94</w:t>
            </w:r>
          </w:p>
        </w:tc>
        <w:tc>
          <w:tcPr>
            <w:tcW w:type="dxa" w:w="1190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6" w:after="0"/>
              <w:ind w:left="70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100.00</w:t>
            </w:r>
          </w:p>
        </w:tc>
        <w:tc>
          <w:tcPr>
            <w:tcW w:type="dxa" w:w="235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32" w:after="0"/>
              <w:ind w:left="72" w:right="432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Average Emission total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uncertainty</w:t>
            </w:r>
          </w:p>
        </w:tc>
      </w:tr>
    </w:tbl>
    <w:p>
      <w:pPr>
        <w:autoSpaceDN w:val="0"/>
        <w:autoSpaceDE w:val="0"/>
        <w:widowControl/>
        <w:spacing w:line="197" w:lineRule="auto" w:before="0" w:after="0"/>
        <w:ind w:left="0" w:right="6450" w:firstLine="0"/>
        <w:jc w:val="right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Scope3</w:t>
      </w: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2314"/>
        <w:gridCol w:w="2314"/>
        <w:gridCol w:w="2314"/>
        <w:gridCol w:w="2314"/>
        <w:gridCol w:w="2314"/>
      </w:tblGrid>
      <w:tr>
        <w:trPr>
          <w:trHeight w:hRule="exact" w:val="758"/>
        </w:trPr>
        <w:tc>
          <w:tcPr>
            <w:tcW w:type="dxa" w:w="4188"/>
            <w:tcBorders>
              <w:start w:sz="4.800000000000011" w:val="single" w:color="#C7CCD0"/>
              <w:top w:sz="4.799999999999997" w:val="single" w:color="#C7CCD0"/>
              <w:end w:sz="4.7999999999999545" w:val="single" w:color="#C7CCD0"/>
              <w:bottom w:sz="4.800000000000011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6" w:after="0"/>
              <w:ind w:left="158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Category</w:t>
            </w:r>
          </w:p>
        </w:tc>
        <w:tc>
          <w:tcPr>
            <w:tcW w:type="dxa" w:w="1564"/>
            <w:tcBorders>
              <w:start w:sz="4.7999999999999545" w:val="single" w:color="#C7CCD0"/>
              <w:top w:sz="4.799999999999997" w:val="single" w:color="#C7CCD0"/>
              <w:end w:sz="4.800000000000182" w:val="single" w:color="#C7CCD0"/>
              <w:bottom w:sz="4.800000000000011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6" w:after="0"/>
              <w:ind w:left="15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Scope</w:t>
            </w:r>
          </w:p>
        </w:tc>
        <w:tc>
          <w:tcPr>
            <w:tcW w:type="dxa" w:w="1420"/>
            <w:tcBorders>
              <w:start w:sz="4.800000000000182" w:val="single" w:color="#C7CCD0"/>
              <w:top w:sz="4.799999999999997" w:val="single" w:color="#C7CCD0"/>
              <w:end w:sz="4.800000000000182" w:val="single" w:color="#C7CCD0"/>
              <w:bottom w:sz="4.800000000000011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144" w:after="0"/>
              <w:ind w:left="156" w:right="432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Emission </w:t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(tCO₂e)</w:t>
            </w:r>
          </w:p>
        </w:tc>
        <w:tc>
          <w:tcPr>
            <w:tcW w:type="dxa" w:w="1190"/>
            <w:tcBorders>
              <w:start w:sz="4.800000000000182" w:val="single" w:color="#C7CCD0"/>
              <w:top w:sz="4.799999999999997" w:val="single" w:color="#C7CCD0"/>
              <w:end w:sz="4.800000000000182" w:val="single" w:color="#C7CCD0"/>
              <w:bottom w:sz="4.800000000000011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6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Proportion</w:t>
            </w:r>
          </w:p>
        </w:tc>
        <w:tc>
          <w:tcPr>
            <w:tcW w:type="dxa" w:w="2358"/>
            <w:tcBorders>
              <w:start w:sz="4.800000000000182" w:val="single" w:color="#C7CCD0"/>
              <w:top w:sz="4.799999999999997" w:val="single" w:color="#C7CCD0"/>
              <w:end w:sz="4.800000000000182" w:val="single" w:color="#C7CCD0"/>
              <w:bottom w:sz="4.800000000000011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6" w:after="0"/>
              <w:ind w:left="156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Uncertainty(%)</w:t>
            </w:r>
          </w:p>
        </w:tc>
      </w:tr>
      <w:tr>
        <w:trPr>
          <w:trHeight w:hRule="exact" w:val="446"/>
        </w:trPr>
        <w:tc>
          <w:tcPr>
            <w:tcW w:type="dxa" w:w="4188"/>
            <w:tcBorders>
              <w:start w:sz="4.800000000000011" w:val="single" w:color="#C7CCD0"/>
              <w:top w:sz="4.800000000000011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64"/>
            <w:tcBorders>
              <w:start w:sz="4.7999999999999545" w:val="single" w:color="#C7CCD0"/>
              <w:top w:sz="4.800000000000011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20"/>
            <w:tcBorders>
              <w:start w:sz="4.800000000000182" w:val="single" w:color="#C7CCD0"/>
              <w:top w:sz="4.800000000000011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90"/>
            <w:tcBorders>
              <w:start w:sz="4.800000000000182" w:val="single" w:color="#C7CCD0"/>
              <w:top w:sz="4.800000000000011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58"/>
            <w:tcBorders>
              <w:start w:sz="4.800000000000182" w:val="single" w:color="#C7CCD0"/>
              <w:top w:sz="4.800000000000011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0.00%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2314"/>
        <w:gridCol w:w="2314"/>
        <w:gridCol w:w="2314"/>
        <w:gridCol w:w="2314"/>
        <w:gridCol w:w="2314"/>
      </w:tblGrid>
      <w:tr>
        <w:trPr>
          <w:trHeight w:hRule="exact" w:val="1022"/>
        </w:trPr>
        <w:tc>
          <w:tcPr>
            <w:tcW w:type="dxa" w:w="1204"/>
            <w:tcBorders>
              <w:start w:sz="4.800000000000011" w:val="single" w:color="#C7CCD0"/>
              <w:top w:sz="4.800000000000068" w:val="single" w:color="#C7CCD0"/>
              <w:end w:sz="4.800000000000068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276" w:after="0"/>
              <w:ind w:left="144" w:right="144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Emission </w:t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Type</w:t>
            </w:r>
          </w:p>
        </w:tc>
        <w:tc>
          <w:tcPr>
            <w:tcW w:type="dxa" w:w="1300"/>
            <w:tcBorders>
              <w:start w:sz="4.800000000000068" w:val="single" w:color="#C7CCD0"/>
              <w:top w:sz="4.800000000000068" w:val="single" w:color="#C7CCD0"/>
              <w:end w:sz="4.7999999999999545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276" w:after="0"/>
              <w:ind w:left="288" w:right="288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Scope |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Category</w:t>
            </w:r>
          </w:p>
        </w:tc>
        <w:tc>
          <w:tcPr>
            <w:tcW w:type="dxa" w:w="4246"/>
            <w:tcBorders>
              <w:start w:sz="4.7999999999999545" w:val="single" w:color="#C7CCD0"/>
              <w:top w:sz="4.800000000000068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42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Description</w:t>
            </w:r>
          </w:p>
        </w:tc>
        <w:tc>
          <w:tcPr>
            <w:tcW w:type="dxa" w:w="2142"/>
            <w:tcBorders>
              <w:start w:sz="4.800000000000182" w:val="single" w:color="#C7CCD0"/>
              <w:top w:sz="4.800000000000068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288" w:right="288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GHG Emission for </w:t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reporting period </w:t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(tCO₂e)</w:t>
            </w:r>
          </w:p>
        </w:tc>
        <w:tc>
          <w:tcPr>
            <w:tcW w:type="dxa" w:w="1828"/>
            <w:tcBorders>
              <w:start w:sz="4.800000000000182" w:val="single" w:color="#C7CCD0"/>
              <w:top w:sz="4.800000000000068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276" w:after="0"/>
              <w:ind w:left="144" w:right="144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Aggregated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Certainty Ranking</w:t>
            </w:r>
          </w:p>
        </w:tc>
      </w:tr>
      <w:tr>
        <w:trPr>
          <w:trHeight w:hRule="exact" w:val="590"/>
        </w:trPr>
        <w:tc>
          <w:tcPr>
            <w:tcW w:type="dxa" w:w="1204"/>
            <w:vMerge w:val="restart"/>
            <w:tcBorders>
              <w:start w:sz="4.800000000000011" w:val="single" w:color="#C7CCD0"/>
              <w:top w:sz="4.7999999999999545" w:val="single" w:color="#C7CCD0"/>
              <w:end w:sz="4.800000000000068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300"/>
            <w:vMerge w:val="restart"/>
            <w:tcBorders>
              <w:start w:sz="4.800000000000068" w:val="single" w:color="#C7CCD0"/>
              <w:top w:sz="4.7999999999999545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8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1 | 1</w:t>
            </w:r>
          </w:p>
        </w:tc>
        <w:tc>
          <w:tcPr>
            <w:tcW w:type="dxa" w:w="4246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72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1.1. Direct GHG emissions &amp; removals from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stationary combustion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2314"/>
            <w:vMerge/>
            <w:tcBorders>
              <w:start w:sz="4.800000000000011" w:val="single" w:color="#C7CCD0"/>
              <w:top w:sz="4.7999999999999545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4.7999999999999545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1.2. Direct GHG emissions &amp; removals from mobile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combustion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8"/>
        </w:trPr>
        <w:tc>
          <w:tcPr>
            <w:tcW w:type="dxa" w:w="2314"/>
            <w:vMerge/>
            <w:tcBorders>
              <w:start w:sz="4.800000000000011" w:val="single" w:color="#C7CCD0"/>
              <w:top w:sz="4.7999999999999545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4.7999999999999545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1.3. Direct GHG emissions &amp; removals from industrial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processes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2314"/>
            <w:vMerge/>
            <w:tcBorders>
              <w:start w:sz="4.800000000000011" w:val="single" w:color="#C7CCD0"/>
              <w:top w:sz="4.7999999999999545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4.7999999999999545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" w:after="0"/>
              <w:ind w:left="72" w:right="288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1.4. Direct fugitive emissions from the release of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GHGs in anthropogenic systems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2314"/>
            <w:vMerge/>
            <w:tcBorders>
              <w:start w:sz="4.800000000000011" w:val="single" w:color="#C7CCD0"/>
              <w:top w:sz="4.7999999999999545" w:val="single" w:color="#C7CCD0"/>
              <w:end w:sz="4.800000000000068" w:val="single" w:color="#C7CCD0"/>
              <w:bottom w:sz="4.799999999999727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4.7999999999999545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1.5. Direct GHG emissions and removals from land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use, land use change and forestry (LULUCF)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204"/>
            <w:vMerge w:val="restart"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300"/>
            <w:vMerge w:val="restart"/>
            <w:tcBorders>
              <w:start w:sz="4.800000000000068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16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2 | 2</w:t>
            </w:r>
          </w:p>
        </w:tc>
        <w:tc>
          <w:tcPr>
            <w:tcW w:type="dxa" w:w="424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2.1. Indirect GHG emissions from imported electricity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2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4.799999999999727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2.2. Indirect GHG emissions from imported energy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1300"/>
            <w:vMerge w:val="restart"/>
            <w:tcBorders>
              <w:start w:sz="4.800000000000068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238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3 | 3</w:t>
            </w:r>
          </w:p>
        </w:tc>
        <w:tc>
          <w:tcPr>
            <w:tcW w:type="dxa" w:w="424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3.1. Indirect GHG emissions from upstream transport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and distribution for goods</w:t>
            </w:r>
          </w:p>
        </w:tc>
        <w:tc>
          <w:tcPr>
            <w:tcW w:type="dxa" w:w="214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8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72" w:right="432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3.2. Indirect GHG emissions from downstream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transport and distribution for goods</w:t>
            </w:r>
          </w:p>
        </w:tc>
        <w:tc>
          <w:tcPr>
            <w:tcW w:type="dxa" w:w="214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72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3.3. Indirect GHG emissions from employee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commuting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3.4. Indirect GHG emissions from client and visitor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transport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4.800000000000182" w:val="single" w:color="#C7CCD0"/>
              <w:end w:sz="4.7999999999999545" w:val="single" w:color="#C7CCD0"/>
              <w:bottom w:sz="4.799999999999727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3.5. Indirect GHG emissions from business travel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1300"/>
            <w:vMerge w:val="restart"/>
            <w:tcBorders>
              <w:start w:sz="4.800000000000068" w:val="single" w:color="#C7CCD0"/>
              <w:top w:sz="4.799999999999727" w:val="single" w:color="#C7CCD0"/>
              <w:end w:sz="4.7999999999999545" w:val="single" w:color="#C7CCD0"/>
              <w:bottom w:sz="5.599999999999454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528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3 | 4</w:t>
            </w:r>
          </w:p>
        </w:tc>
        <w:tc>
          <w:tcPr>
            <w:tcW w:type="dxa" w:w="424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4.1. Indirect GHG emissions from goods purchased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by an organization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4.799999999999727" w:val="single" w:color="#C7CCD0"/>
              <w:end w:sz="4.7999999999999545" w:val="single" w:color="#C7CCD0"/>
              <w:bottom w:sz="5.599999999999454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4.2. Indirect GHG emissions from capital goods that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are purchased and amortized by an organization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4.799999999999727" w:val="single" w:color="#C7CCD0"/>
              <w:end w:sz="4.7999999999999545" w:val="single" w:color="#C7CCD0"/>
              <w:bottom w:sz="5.599999999999454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4.3. Indirect GHG emissions from disposal services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(of solid or liquid waste) used by an organization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8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4.799999999999727" w:val="single" w:color="#C7CCD0"/>
              <w:end w:sz="4.7999999999999545" w:val="single" w:color="#C7CCD0"/>
              <w:bottom w:sz="5.599999999999454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0" w:right="432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4.4. Indirect GHG emissions from use of assets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(through leased equipment) by an organization</w:t>
            </w:r>
          </w:p>
        </w:tc>
        <w:tc>
          <w:tcPr>
            <w:tcW w:type="dxa" w:w="214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79999999999927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80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4.799999999999727" w:val="single" w:color="#C7CCD0"/>
              <w:end w:sz="4.7999999999999545" w:val="single" w:color="#C7CCD0"/>
              <w:bottom w:sz="5.599999999999454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799999999999272" w:val="single" w:color="#C7CCD0"/>
              <w:end w:sz="4.800000000000182" w:val="single" w:color="#C7CCD0"/>
              <w:bottom w:sz="5.599999999999454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4.5. Indirect GHG emissions from use of services not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described in the above sub-categories by an </w:t>
            </w:r>
            <w:r>
              <w:br/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organization</w:t>
            </w:r>
          </w:p>
        </w:tc>
        <w:tc>
          <w:tcPr>
            <w:tcW w:type="dxa" w:w="2142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5.599999999999454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799999999999272" w:val="single" w:color="#C7CCD0"/>
              <w:end w:sz="4.800000000000182" w:val="single" w:color="#C7CCD0"/>
              <w:bottom w:sz="5.599999999999454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8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1300"/>
            <w:vMerge w:val="restart"/>
            <w:tcBorders>
              <w:start w:sz="4.800000000000068" w:val="single" w:color="#C7CCD0"/>
              <w:top w:sz="5.599999999999454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5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3 | 5</w:t>
            </w:r>
          </w:p>
        </w:tc>
        <w:tc>
          <w:tcPr>
            <w:tcW w:type="dxa" w:w="4246"/>
            <w:tcBorders>
              <w:start w:sz="4.7999999999999545" w:val="single" w:color="#C7CCD0"/>
              <w:top w:sz="5.59999999999945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72" w:right="288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5.1. Indirect GHG emissions or removals from use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stage of the product</w:t>
            </w:r>
          </w:p>
        </w:tc>
        <w:tc>
          <w:tcPr>
            <w:tcW w:type="dxa" w:w="2142"/>
            <w:tcBorders>
              <w:start w:sz="4.800000000000182" w:val="single" w:color="#C7CCD0"/>
              <w:top w:sz="5.59999999999945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5.599999999999454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5.599999999999454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5.2. Indirect GHG emissions from downstream leased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assets</w:t>
            </w:r>
          </w:p>
        </w:tc>
        <w:tc>
          <w:tcPr>
            <w:tcW w:type="dxa" w:w="214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5.599999999999454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5.3. Indirect GHG emissions from end of life stage of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the product</w:t>
            </w:r>
          </w:p>
        </w:tc>
        <w:tc>
          <w:tcPr>
            <w:tcW w:type="dxa" w:w="214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2314"/>
            <w:vMerge/>
            <w:tcBorders>
              <w:start w:sz="4.800000000000068" w:val="single" w:color="#C7CCD0"/>
              <w:top w:sz="5.599999999999454" w:val="single" w:color="#C7CCD0"/>
              <w:end w:sz="4.7999999999999545" w:val="single" w:color="#C7CCD0"/>
              <w:bottom w:sz="4.800000000000182" w:val="single" w:color="#C7CCD0"/>
            </w:tcBorders>
          </w:tcPr>
          <w:p/>
        </w:tc>
        <w:tc>
          <w:tcPr>
            <w:tcW w:type="dxa" w:w="424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5.4. Indirect GHG emissions from investments</w:t>
            </w:r>
          </w:p>
        </w:tc>
        <w:tc>
          <w:tcPr>
            <w:tcW w:type="dxa" w:w="214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2314"/>
            <w:vMerge/>
            <w:tcBorders>
              <w:start w:sz="4.800000000000011" w:val="single" w:color="#C7CCD0"/>
              <w:top w:sz="4.799999999999727" w:val="single" w:color="#C7CCD0"/>
              <w:end w:sz="4.800000000000068" w:val="single" w:color="#C7CCD0"/>
              <w:bottom w:sz="4.800000000000182" w:val="single" w:color="#C7CCD0"/>
            </w:tcBorders>
          </w:tcPr>
          <w:p/>
        </w:tc>
        <w:tc>
          <w:tcPr>
            <w:tcW w:type="dxa" w:w="1300"/>
            <w:tcBorders>
              <w:start w:sz="4.800000000000068" w:val="single" w:color="#C7CCD0"/>
              <w:top w:sz="4.800000000000182" w:val="single" w:color="#C7CCD0"/>
              <w:end w:sz="4.7999999999999545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" w:after="0"/>
              <w:ind w:left="72" w:right="0" w:firstLine="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3 | 6</w:t>
            </w:r>
          </w:p>
        </w:tc>
        <w:tc>
          <w:tcPr>
            <w:tcW w:type="dxa" w:w="4246"/>
            <w:tcBorders>
              <w:start w:sz="4.7999999999999545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0" w:after="0"/>
              <w:ind w:left="72" w:right="144" w:firstLine="0"/>
              <w:jc w:val="left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6.1. Indirect GHG emissions or removals from other </w:t>
            </w: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sources</w:t>
            </w:r>
          </w:p>
        </w:tc>
        <w:tc>
          <w:tcPr>
            <w:tcW w:type="dxa" w:w="214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34"/>
        </w:trPr>
        <w:tc>
          <w:tcPr>
            <w:tcW w:type="dxa" w:w="6750"/>
            <w:gridSpan w:val="3"/>
            <w:tcBorders>
              <w:start w:sz="4.800000000000011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32" w:after="0"/>
              <w:ind w:left="5770" w:right="0" w:hanging="4810"/>
              <w:jc w:val="lef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 xml:space="preserve">Aggregated Uncertainty (for total of all directly and indirectly measured </w:t>
            </w: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emissions):</w:t>
            </w:r>
          </w:p>
        </w:tc>
        <w:tc>
          <w:tcPr>
            <w:tcW w:type="dxa" w:w="3970"/>
            <w:gridSpan w:val="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4"/>
        </w:trPr>
        <w:tc>
          <w:tcPr>
            <w:tcW w:type="dxa" w:w="6750"/>
            <w:gridSpan w:val="3"/>
            <w:tcBorders>
              <w:start w:sz="4.800000000000011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70" w:firstLine="0"/>
              <w:jc w:val="right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Uncertainty Ranking (for aggregated uncertainty):</w:t>
            </w:r>
          </w:p>
        </w:tc>
        <w:tc>
          <w:tcPr>
            <w:tcW w:type="dxa" w:w="3970"/>
            <w:gridSpan w:val="2"/>
            <w:tcBorders>
              <w:start w:sz="4.800000000000182" w:val="single" w:color="#C7CCD0"/>
              <w:top w:sz="4.800000000000182" w:val="single" w:color="#C7CCD0"/>
              <w:end w:sz="4.800000000000182" w:val="single" w:color="#C7CCD0"/>
              <w:bottom w:sz="4.800000000000182" w:val="single" w:color="#C7CCD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0" w:right="150" w:bottom="0" w:left="1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6" w:lineRule="auto" w:before="540" w:after="422"/>
        <w:ind w:left="288" w:right="6048" w:firstLine="0"/>
        <w:jc w:val="left"/>
      </w:pPr>
      <w:r>
        <w:rPr>
          <w:w w:val="98.7025260925293"/>
          <w:rFonts w:ascii="Calibri" w:hAnsi="Calibri" w:eastAsia="Calibri"/>
          <w:b w:val="0"/>
          <w:i w:val="0"/>
          <w:color w:val="2E5395"/>
          <w:sz w:val="26"/>
        </w:rPr>
        <w:t xml:space="preserve">16. Greenhouse Gas Mitigation Activities </w:t>
      </w:r>
      <w:r>
        <w:br/>
      </w:r>
      <w:r>
        <w:rPr>
          <w:w w:val="101.3157894736842"/>
          <w:rFonts w:ascii="Calibri" w:hAnsi="Calibri" w:eastAsia="Calibri"/>
          <w:b/>
          <w:i w:val="0"/>
          <w:color w:val="000000"/>
          <w:sz w:val="19"/>
        </w:rPr>
        <w:t>(a) GHG emission reduction and removal enhancement initiatives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2314"/>
        <w:gridCol w:w="2314"/>
        <w:gridCol w:w="2314"/>
        <w:gridCol w:w="2314"/>
        <w:gridCol w:w="2314"/>
      </w:tblGrid>
      <w:tr>
        <w:trPr>
          <w:trHeight w:hRule="exact" w:val="1648"/>
        </w:trPr>
        <w:tc>
          <w:tcPr>
            <w:tcW w:type="dxa" w:w="2286"/>
            <w:tcBorders>
              <w:start w:sz="4.800000000000011" w:val="single" w:color="#C7CCD0"/>
              <w:top w:sz="4.800000000000068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Emission Removal Activity</w:t>
            </w:r>
          </w:p>
        </w:tc>
        <w:tc>
          <w:tcPr>
            <w:tcW w:type="dxa" w:w="1770"/>
            <w:tcBorders>
              <w:start w:sz="4.800000000000182" w:val="single" w:color="#C7CCD0"/>
              <w:top w:sz="4.800000000000068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Scope</w:t>
            </w:r>
          </w:p>
        </w:tc>
        <w:tc>
          <w:tcPr>
            <w:tcW w:type="dxa" w:w="2262"/>
            <w:tcBorders>
              <w:start w:sz="4.800000000000182" w:val="single" w:color="#C7CCD0"/>
              <w:top w:sz="4.800000000000068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Category</w:t>
            </w:r>
          </w:p>
        </w:tc>
        <w:tc>
          <w:tcPr>
            <w:tcW w:type="dxa" w:w="1576"/>
            <w:tcBorders>
              <w:start w:sz="4.799999999999727" w:val="single" w:color="#C7CCD0"/>
              <w:top w:sz="4.800000000000068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Type</w:t>
            </w:r>
          </w:p>
        </w:tc>
        <w:tc>
          <w:tcPr>
            <w:tcW w:type="dxa" w:w="3068"/>
            <w:tcBorders>
              <w:start w:sz="4.799999999999727" w:val="single" w:color="#C7CCD0"/>
              <w:top w:sz="4.800000000000068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/>
                <w:i w:val="0"/>
                <w:color w:val="000000"/>
                <w:sz w:val="19"/>
              </w:rPr>
              <w:t>Carbon Emission Mitigated kgCO₂-e</w:t>
            </w:r>
          </w:p>
        </w:tc>
      </w:tr>
      <w:tr>
        <w:trPr>
          <w:trHeight w:hRule="exact" w:val="1648"/>
        </w:trPr>
        <w:tc>
          <w:tcPr>
            <w:tcW w:type="dxa" w:w="2286"/>
            <w:tcBorders>
              <w:start w:sz="4.800000000000011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0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2 | Category 2</w:t>
            </w:r>
          </w:p>
        </w:tc>
        <w:tc>
          <w:tcPr>
            <w:tcW w:type="dxa" w:w="2262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2.1 Imported Electricity</w:t>
            </w:r>
          </w:p>
        </w:tc>
        <w:tc>
          <w:tcPr>
            <w:tcW w:type="dxa" w:w="1576"/>
            <w:tcBorders>
              <w:start w:sz="4.799999999999727" w:val="single" w:color="#C7CCD0"/>
              <w:top w:sz="4.7999999999999545" w:val="single" w:color="#C7CCD0"/>
              <w:end w:sz="4.799999999999727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Renewable energy</w:t>
            </w:r>
          </w:p>
        </w:tc>
        <w:tc>
          <w:tcPr>
            <w:tcW w:type="dxa" w:w="3068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9545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 kgCO₂-e</w:t>
            </w:r>
          </w:p>
        </w:tc>
      </w:tr>
      <w:tr>
        <w:trPr>
          <w:trHeight w:hRule="exact" w:val="1648"/>
        </w:trPr>
        <w:tc>
          <w:tcPr>
            <w:tcW w:type="dxa" w:w="2286"/>
            <w:tcBorders>
              <w:start w:sz="4.800000000000011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0"/>
            <w:tcBorders>
              <w:start w:sz="4.800000000000182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1 | Category 1</w:t>
            </w:r>
          </w:p>
        </w:tc>
        <w:tc>
          <w:tcPr>
            <w:tcW w:type="dxa" w:w="2262"/>
            <w:tcBorders>
              <w:start w:sz="4.800000000000182" w:val="single" w:color="#C7CCD0"/>
              <w:top w:sz="4.7999999999999545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1.2 Mobile Combustion</w:t>
            </w:r>
          </w:p>
        </w:tc>
        <w:tc>
          <w:tcPr>
            <w:tcW w:type="dxa" w:w="1576"/>
            <w:tcBorders>
              <w:start w:sz="4.799999999999727" w:val="single" w:color="#C7CCD0"/>
              <w:top w:sz="4.7999999999999545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Renewable energy</w:t>
            </w:r>
          </w:p>
        </w:tc>
        <w:tc>
          <w:tcPr>
            <w:tcW w:type="dxa" w:w="3068"/>
            <w:tcBorders>
              <w:start w:sz="4.799999999999727" w:val="single" w:color="#C7CCD0"/>
              <w:top w:sz="4.7999999999999545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 kgCO₂-e</w:t>
            </w:r>
          </w:p>
        </w:tc>
      </w:tr>
      <w:tr>
        <w:trPr>
          <w:trHeight w:hRule="exact" w:val="1650"/>
        </w:trPr>
        <w:tc>
          <w:tcPr>
            <w:tcW w:type="dxa" w:w="2286"/>
            <w:tcBorders>
              <w:start w:sz="4.800000000000011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0"/>
            <w:tcBorders>
              <w:start w:sz="4.800000000000182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Scope 1 | Category 1</w:t>
            </w:r>
          </w:p>
        </w:tc>
        <w:tc>
          <w:tcPr>
            <w:tcW w:type="dxa" w:w="2262"/>
            <w:tcBorders>
              <w:start w:sz="4.800000000000182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1.1 Stationary Combustion</w:t>
            </w:r>
          </w:p>
        </w:tc>
        <w:tc>
          <w:tcPr>
            <w:tcW w:type="dxa" w:w="1576"/>
            <w:tcBorders>
              <w:start w:sz="4.799999999999727" w:val="single" w:color="#C7CCD0"/>
              <w:top w:sz="4.799999999999727" w:val="single" w:color="#C7CCD0"/>
              <w:end w:sz="4.799999999999727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Renewable energy</w:t>
            </w:r>
          </w:p>
        </w:tc>
        <w:tc>
          <w:tcPr>
            <w:tcW w:type="dxa" w:w="3068"/>
            <w:tcBorders>
              <w:start w:sz="4.799999999999727" w:val="single" w:color="#C7CCD0"/>
              <w:top w:sz="4.799999999999727" w:val="single" w:color="#C7CCD0"/>
              <w:end w:sz="4.800000000000182" w:val="single" w:color="#C7CCD0"/>
              <w:bottom w:sz="4.799999999999727" w:val="single" w:color="#C7CCD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734" w:after="0"/>
              <w:ind w:left="0" w:right="0" w:firstLine="0"/>
              <w:jc w:val="center"/>
            </w:pPr>
            <w:r>
              <w:rPr>
                <w:w w:val="101.3157894736842"/>
                <w:rFonts w:ascii="Calibri" w:hAnsi="Calibri" w:eastAsia="Calibri"/>
                <w:b w:val="0"/>
                <w:i w:val="0"/>
                <w:color w:val="000000"/>
                <w:sz w:val="19"/>
              </w:rPr>
              <w:t>0 kgCO₂-e</w:t>
            </w:r>
          </w:p>
        </w:tc>
      </w:tr>
    </w:tbl>
    <w:p>
      <w:pPr>
        <w:autoSpaceDN w:val="0"/>
        <w:autoSpaceDE w:val="0"/>
        <w:widowControl/>
        <w:spacing w:line="197" w:lineRule="auto" w:before="348" w:after="170"/>
        <w:ind w:left="0" w:right="0" w:firstLine="0"/>
        <w:jc w:val="center"/>
      </w:pPr>
      <w:r>
        <w:rPr>
          <w:w w:val="101.3157894736842"/>
          <w:rFonts w:ascii="Calibri" w:hAnsi="Calibri" w:eastAsia="Calibri"/>
          <w:b w:val="0"/>
          <w:i w:val="0"/>
          <w:color w:val="000000"/>
          <w:sz w:val="19"/>
        </w:rPr>
        <w:t>Absolute Emission Reduction compared to baseline year tCO2e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0.0" w:type="dxa"/>
      </w:tblPr>
      <w:tblGrid>
        <w:gridCol w:w="2892"/>
        <w:gridCol w:w="2892"/>
        <w:gridCol w:w="2892"/>
        <w:gridCol w:w="2892"/>
      </w:tblGrid>
      <w:tr>
        <w:trPr>
          <w:trHeight w:hRule="exact" w:val="234"/>
        </w:trPr>
        <w:tc>
          <w:tcPr>
            <w:tcW w:type="dxa" w:w="11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2" w:after="0"/>
              <w:ind w:left="180" w:right="0" w:firstLine="0"/>
              <w:jc w:val="lef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Base Year</w:t>
            </w:r>
          </w:p>
        </w:tc>
        <w:tc>
          <w:tcPr>
            <w:tcW w:type="dxa" w:w="12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2" w:after="0"/>
              <w:ind w:left="32" w:right="0" w:firstLine="0"/>
              <w:jc w:val="lef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Reporting Year</w:t>
            </w:r>
          </w:p>
        </w:tc>
        <w:tc>
          <w:tcPr>
            <w:tcW w:type="dxa" w:w="22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2" w:after="0"/>
              <w:ind w:left="36" w:right="0" w:firstLine="0"/>
              <w:jc w:val="lef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Base Year Emission Reduction</w:t>
            </w:r>
          </w:p>
        </w:tc>
        <w:tc>
          <w:tcPr>
            <w:tcW w:type="dxa" w:w="4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2" w:after="0"/>
              <w:ind w:left="38" w:right="0" w:firstLine="0"/>
              <w:jc w:val="lef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Reporting Year Emission Reduction</w:t>
            </w:r>
          </w:p>
        </w:tc>
      </w:tr>
    </w:tbl>
    <w:p>
      <w:pPr>
        <w:autoSpaceDN w:val="0"/>
        <w:autoSpaceDE w:val="0"/>
        <w:widowControl/>
        <w:spacing w:line="233" w:lineRule="auto" w:before="134" w:after="0"/>
        <w:ind w:left="496" w:right="0" w:firstLine="0"/>
        <w:jc w:val="left"/>
      </w:pPr>
      <w:r>
        <w:rPr>
          <w:w w:val="101.80288461538463"/>
          <w:rFonts w:ascii="Arial" w:hAnsi="Arial" w:eastAsia="Arial"/>
          <w:b w:val="0"/>
          <w:i w:val="0"/>
          <w:color w:val="373C3F"/>
          <w:sz w:val="13"/>
        </w:rPr>
        <w:t>30000.00</w:t>
      </w:r>
    </w:p>
    <w:p>
      <w:pPr>
        <w:autoSpaceDN w:val="0"/>
        <w:autoSpaceDE w:val="0"/>
        <w:widowControl/>
        <w:spacing w:line="233" w:lineRule="auto" w:before="378" w:after="0"/>
        <w:ind w:left="496" w:right="0" w:firstLine="0"/>
        <w:jc w:val="left"/>
      </w:pPr>
      <w:r>
        <w:rPr>
          <w:w w:val="101.80288461538463"/>
          <w:rFonts w:ascii="Arial" w:hAnsi="Arial" w:eastAsia="Arial"/>
          <w:b w:val="0"/>
          <w:i w:val="0"/>
          <w:color w:val="373C3F"/>
          <w:sz w:val="13"/>
        </w:rPr>
        <w:t>25000.00</w:t>
      </w:r>
    </w:p>
    <w:p>
      <w:pPr>
        <w:autoSpaceDN w:val="0"/>
        <w:autoSpaceDE w:val="0"/>
        <w:widowControl/>
        <w:spacing w:line="233" w:lineRule="auto" w:before="380" w:after="0"/>
        <w:ind w:left="496" w:right="0" w:firstLine="0"/>
        <w:jc w:val="left"/>
      </w:pPr>
      <w:r>
        <w:rPr>
          <w:w w:val="101.80288461538463"/>
          <w:rFonts w:ascii="Arial" w:hAnsi="Arial" w:eastAsia="Arial"/>
          <w:b w:val="0"/>
          <w:i w:val="0"/>
          <w:color w:val="373C3F"/>
          <w:sz w:val="13"/>
        </w:rPr>
        <w:t>20000.00</w:t>
      </w:r>
    </w:p>
    <w:p>
      <w:pPr>
        <w:autoSpaceDN w:val="0"/>
        <w:autoSpaceDE w:val="0"/>
        <w:widowControl/>
        <w:spacing w:line="233" w:lineRule="auto" w:before="380" w:after="32"/>
        <w:ind w:left="496" w:right="0" w:firstLine="0"/>
        <w:jc w:val="left"/>
      </w:pPr>
      <w:r>
        <w:rPr>
          <w:w w:val="101.80288461538463"/>
          <w:rFonts w:ascii="Arial" w:hAnsi="Arial" w:eastAsia="Arial"/>
          <w:b w:val="0"/>
          <w:i w:val="0"/>
          <w:color w:val="373C3F"/>
          <w:sz w:val="13"/>
        </w:rPr>
        <w:t>15000.00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68.0" w:type="dxa"/>
      </w:tblPr>
      <w:tblGrid>
        <w:gridCol w:w="5784"/>
        <w:gridCol w:w="5784"/>
      </w:tblGrid>
      <w:tr>
        <w:trPr>
          <w:trHeight w:hRule="exact" w:val="254"/>
        </w:trPr>
        <w:tc>
          <w:tcPr>
            <w:tcW w:type="dxa" w:w="1150"/>
            <w:tcBorders/>
            <w:shd w:fill="333f4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32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/>
                <w:i w:val="0"/>
                <w:color w:val="FFFFFF"/>
                <w:sz w:val="14"/>
              </w:rPr>
              <w:t>26959.05</w:t>
            </w:r>
          </w:p>
        </w:tc>
        <w:tc>
          <w:tcPr>
            <w:tcW w:type="dxa" w:w="1164"/>
            <w:tcBorders/>
            <w:shd w:fill="8397b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32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/>
                <w:i w:val="0"/>
                <w:color w:val="FFFFFF"/>
                <w:sz w:val="14"/>
              </w:rPr>
              <w:t>26959.05</w:t>
            </w:r>
          </w:p>
        </w:tc>
      </w:tr>
    </w:tbl>
    <w:p>
      <w:pPr>
        <w:autoSpaceDN w:val="0"/>
        <w:autoSpaceDE w:val="0"/>
        <w:widowControl/>
        <w:spacing w:line="230" w:lineRule="auto" w:before="94" w:after="0"/>
        <w:ind w:left="496" w:right="0" w:firstLine="0"/>
        <w:jc w:val="left"/>
      </w:pPr>
      <w:r>
        <w:rPr>
          <w:w w:val="101.80288461538463"/>
          <w:rFonts w:ascii="Arial" w:hAnsi="Arial" w:eastAsia="Arial"/>
          <w:b w:val="0"/>
          <w:i w:val="0"/>
          <w:color w:val="373C3F"/>
          <w:sz w:val="13"/>
        </w:rPr>
        <w:t>10000.00</w:t>
      </w:r>
    </w:p>
    <w:p>
      <w:pPr>
        <w:autoSpaceDN w:val="0"/>
        <w:autoSpaceDE w:val="0"/>
        <w:widowControl/>
        <w:spacing w:line="233" w:lineRule="auto" w:before="380" w:after="4"/>
        <w:ind w:left="570" w:right="0" w:firstLine="0"/>
        <w:jc w:val="left"/>
      </w:pPr>
      <w:r>
        <w:rPr>
          <w:w w:val="101.80288461538463"/>
          <w:rFonts w:ascii="Arial" w:hAnsi="Arial" w:eastAsia="Arial"/>
          <w:b w:val="0"/>
          <w:i w:val="0"/>
          <w:color w:val="373C3F"/>
          <w:sz w:val="13"/>
        </w:rPr>
        <w:t>5000.00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1446"/>
        <w:gridCol w:w="1446"/>
        <w:gridCol w:w="1446"/>
        <w:gridCol w:w="1446"/>
        <w:gridCol w:w="1446"/>
        <w:gridCol w:w="1446"/>
        <w:gridCol w:w="1446"/>
        <w:gridCol w:w="1446"/>
      </w:tblGrid>
      <w:tr>
        <w:trPr>
          <w:trHeight w:hRule="exact" w:val="868"/>
        </w:trPr>
        <w:tc>
          <w:tcPr>
            <w:tcW w:type="dxa" w:w="1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76" w:after="0"/>
              <w:ind w:left="0" w:right="752" w:firstLine="0"/>
              <w:jc w:val="right"/>
            </w:pPr>
            <w:r>
              <w:rPr>
                <w:w w:val="101.80288461538463"/>
                <w:rFonts w:ascii="Arial" w:hAnsi="Arial" w:eastAsia="Arial"/>
                <w:b w:val="0"/>
                <w:i w:val="0"/>
                <w:color w:val="373C3F"/>
                <w:sz w:val="13"/>
              </w:rPr>
              <w:t>0.00</w:t>
            </w:r>
          </w:p>
        </w:tc>
        <w:tc>
          <w:tcPr>
            <w:tcW w:type="dxa" w:w="2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46" w:after="0"/>
              <w:ind w:left="0" w:right="1144" w:firstLine="0"/>
              <w:jc w:val="right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Scope 1</w:t>
            </w:r>
          </w:p>
        </w:tc>
        <w:tc>
          <w:tcPr>
            <w:tcW w:type="dxa" w:w="1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.9999999999999" w:type="dxa"/>
            </w:tblPr>
            <w:tblGrid>
              <w:gridCol w:w="1560"/>
            </w:tblGrid>
            <w:tr>
              <w:trPr>
                <w:trHeight w:hRule="exact" w:val="332"/>
              </w:trPr>
              <w:tc>
                <w:tcPr>
                  <w:tcW w:type="dxa" w:w="1268"/>
                  <w:tcBorders>
                    <w:start w:sz="4.812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118" w:after="0"/>
                    <w:ind w:left="0" w:right="32" w:firstLine="0"/>
                    <w:jc w:val="right"/>
                  </w:pPr>
                  <w:r>
                    <w:rPr>
                      <w:w w:val="103.125"/>
                      <w:rFonts w:ascii="Arial" w:hAnsi="Arial" w:eastAsia="Arial"/>
                      <w:b/>
                      <w:i w:val="0"/>
                      <w:color w:val="FFFFFF"/>
                      <w:sz w:val="14"/>
                    </w:rPr>
                    <w:t>3154</w:t>
                  </w:r>
                </w:p>
              </w:tc>
            </w:tr>
            <w:tr>
              <w:trPr>
                <w:trHeight w:hRule="exact" w:val="70"/>
              </w:trPr>
              <w:tc>
                <w:tcPr>
                  <w:tcW w:type="dxa" w:w="12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46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Scope 2</w:t>
            </w:r>
          </w:p>
        </w:tc>
        <w:tc>
          <w:tcPr>
            <w:tcW w:type="dxa" w:w="18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1836"/>
            </w:tblGrid>
            <w:tr>
              <w:trPr>
                <w:trHeight w:hRule="exact" w:val="332"/>
              </w:trPr>
              <w:tc>
                <w:tcPr>
                  <w:tcW w:type="dxa" w:w="1296"/>
                  <w:tcBorders>
                    <w:end w:sz="4.8125" w:val="single" w:color="#DFDFD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118" w:after="0"/>
                    <w:ind w:left="50" w:right="0" w:firstLine="0"/>
                    <w:jc w:val="left"/>
                  </w:pPr>
                  <w:r>
                    <w:rPr>
                      <w:w w:val="103.125"/>
                      <w:rFonts w:ascii="Arial" w:hAnsi="Arial" w:eastAsia="Arial"/>
                      <w:b/>
                      <w:i w:val="0"/>
                      <w:color w:val="FFFFFF"/>
                      <w:sz w:val="14"/>
                    </w:rPr>
                    <w:t>3154</w:t>
                  </w:r>
                </w:p>
              </w:tc>
            </w:tr>
            <w:tr>
              <w:trPr>
                <w:trHeight w:hRule="exact" w:val="70"/>
              </w:trPr>
              <w:tc>
                <w:tcPr>
                  <w:tcW w:type="dxa" w:w="12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" w:after="0"/>
              <w:ind w:left="0" w:right="28" w:firstLine="0"/>
              <w:jc w:val="right"/>
            </w:pPr>
            <w:r>
              <w:rPr>
                <w:w w:val="103.125"/>
                <w:rFonts w:ascii="Arial" w:hAnsi="Arial" w:eastAsia="Arial"/>
                <w:b/>
                <w:i w:val="0"/>
                <w:color w:val="FFFFFF"/>
                <w:sz w:val="14"/>
              </w:rPr>
              <w:t>8033.33</w:t>
            </w:r>
          </w:p>
        </w:tc>
        <w:tc>
          <w:tcPr>
            <w:tcW w:type="dxa" w:w="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46" w:after="0"/>
              <w:ind w:left="0" w:right="0" w:firstLine="0"/>
              <w:jc w:val="center"/>
            </w:pPr>
            <w:r>
              <w:rPr>
                <w:w w:val="103.125"/>
                <w:rFonts w:ascii="Arial" w:hAnsi="Arial" w:eastAsia="Arial"/>
                <w:b w:val="0"/>
                <w:i w:val="0"/>
                <w:color w:val="373C3F"/>
                <w:sz w:val="14"/>
              </w:rPr>
              <w:t>Scope 3</w:t>
            </w:r>
          </w:p>
        </w:tc>
        <w:tc>
          <w:tcPr>
            <w:tcW w:type="dxa" w:w="8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" w:after="0"/>
              <w:ind w:left="34" w:right="0" w:firstLine="0"/>
              <w:jc w:val="left"/>
            </w:pPr>
            <w:r>
              <w:rPr>
                <w:w w:val="103.125"/>
                <w:rFonts w:ascii="Arial" w:hAnsi="Arial" w:eastAsia="Arial"/>
                <w:b/>
                <w:i w:val="0"/>
                <w:color w:val="FFFFFF"/>
                <w:sz w:val="14"/>
              </w:rPr>
              <w:t>8033.33</w:t>
            </w:r>
          </w:p>
        </w:tc>
      </w:tr>
    </w:tbl>
    <w:p>
      <w:pPr>
        <w:autoSpaceDN w:val="0"/>
        <w:autoSpaceDE w:val="0"/>
        <w:widowControl/>
        <w:spacing w:line="240" w:lineRule="auto" w:before="844" w:after="0"/>
        <w:ind w:left="0" w:right="0" w:firstLine="0"/>
        <w:jc w:val="center"/>
      </w:pPr>
      <w:r>
        <w:rPr>
          <w:w w:val="101.3157894736842"/>
          <w:rFonts w:ascii="Segoe UI" w:hAnsi="Segoe UI" w:eastAsia="Segoe UI"/>
          <w:b/>
          <w:i w:val="0"/>
          <w:color w:val="000000"/>
          <w:sz w:val="19"/>
        </w:rPr>
        <w:t>End of Report…</w:t>
      </w:r>
    </w:p>
    <w:sectPr w:rsidR="00FC693F" w:rsidRPr="0006063C" w:rsidSect="00034616">
      <w:pgSz w:w="11899" w:h="16838"/>
      <w:pgMar w:top="0" w:right="150" w:bottom="88" w:left="1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s://ghgprotocol.org/sites/default/files/GHG%20Emissions%20Calculation%20Tool_0.xlsx" TargetMode="External"/><Relationship Id="rId19" Type="http://schemas.openxmlformats.org/officeDocument/2006/relationships/hyperlink" Target="https://www.gov.uk/government/publications/greenhouse-gas-reporting-conversion-factors-2022" TargetMode="External"/><Relationship Id="rId20" Type="http://schemas.openxmlformats.org/officeDocument/2006/relationships/hyperlink" Target="https://www.epa.gov/climateleadership/ghg-emission-factors-hub" TargetMode="External"/><Relationship Id="rId21" Type="http://schemas.openxmlformats.org/officeDocument/2006/relationships/hyperlink" Target="https://www.ipcc-nggip.iges.or.jp/EFDB/find_ef.php?ipcc_code=3&amp;ipcc_level=0" TargetMode="External"/><Relationship Id="rId22" Type="http://schemas.openxmlformats.org/officeDocument/2006/relationships/hyperlink" Target="https://www.iges.or.jp/en/pub/list-grid-emission-factor/en" TargetMode="External"/><Relationship Id="rId23" Type="http://schemas.openxmlformats.org/officeDocument/2006/relationships/hyperlink" Target="https://www.ipcc-nggip.iges.or.jp/public/2006gl/" TargetMode="External"/><Relationship Id="rId24" Type="http://schemas.openxmlformats.org/officeDocument/2006/relationships/hyperlink" Target="https://ghgprotocol.org/sites/default/files/ghgp/Global-Warming-Potential-Values%20%28Feb%2016%202016%29_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