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720" w:firstLine="0"/>
        <w:rPr>
          <w:rFonts w:ascii="Arial Narrow" w:cs="Arial Narrow" w:eastAsia="Arial Narrow" w:hAnsi="Arial Narrow"/>
          <w:color w:val="2f549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9096"/>
        <w:tblGridChange w:id="0">
          <w:tblGrid>
            <w:gridCol w:w="625"/>
            <w:gridCol w:w="9096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Название статьи</w:t>
            </w:r>
          </w:p>
        </w:tc>
      </w:tr>
      <w:tr>
        <w:trPr>
          <w:cantSplit w:val="0"/>
          <w:trHeight w:val="2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Analysis of the current situation on the availability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Of information on ongoing clinical trials in the Republic of Kazakhstan.</w:t>
            </w:r>
          </w:p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Анализ текущей ситуации доступности информации о проводимых клинических испытаниях в Республике Казахстан.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rial Narrow" w:cs="Arial Narrow" w:eastAsia="Arial Narrow" w:hAnsi="Arial Narrow"/>
              </w:rPr>
            </w:pPr>
            <w:hyperlink r:id="rId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https://newjournal.ssmu.kz/upload/iblock/9d5/1ip82xm6hsdo0xq5a3s42thslhxskji6/07_014_6_25_2023.pdf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Aйнур Сибагатова, Гульнара Кулкаева,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Балжан Касиева, Aндрей Авдеев, Oлжас Турар,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Рустам Албаев, Насрулла Шаназаров,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Tалгат Нургожин, Aйсулу Исабекова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functioning of ethics committees in Kazakhstan: results and recommendations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</w:rPr>
            </w:pPr>
            <w:hyperlink r:id="rId7">
              <w:r w:rsidDel="00000000" w:rsidR="00000000" w:rsidRPr="00000000">
                <w:rPr>
                  <w:rFonts w:ascii="Arial Narrow" w:cs="Arial Narrow" w:eastAsia="Arial Narrow" w:hAnsi="Arial Narrow"/>
                  <w:color w:val="0563c1"/>
                  <w:u w:val="single"/>
                  <w:rtl w:val="0"/>
                </w:rPr>
                <w:t xml:space="preserve">https://pubmed.ncbi.nlm.nih.gov/39749153/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Transformation of the algorithm for prioritization of clinical trial development areas according to their practical significance based on information data analysis.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Formation of a competitive ecosystem for the development of biomedical research in the Republic of Kazakhstan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Insurance management in clinical trials (international and domestic experience).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Управление вопросами страхования при проведении клинических исследований (международный и отечественный опыт).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70c0"/>
                <w:rtl w:val="0"/>
              </w:rPr>
              <w:t xml:space="preserve">Кулкаева Г.У., Граф М.А., Тарасова В.М., Табаров А.Б.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Актуальные вопросы регулирования клинических исследований в Казахстане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70c0"/>
                <w:rtl w:val="0"/>
              </w:rPr>
              <w:t xml:space="preserve">Г.У. Кулкаева, М.А. Граф, Н.Т. Алдиярова, В.М. Тарасова, Т.С. Нургожин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Results of the analysis of the established research system and barriers to its development in Kazakhstan.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Результаты анализа выстроенной системы проведения клинических исследований и барьеры для их развития в Казахстане.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70c0"/>
                <w:rtl w:val="0"/>
              </w:rPr>
              <w:t xml:space="preserve">Кулкаева Г.У., Тарасова В.М., Граф М.А., Табаров А.Б.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Assessment of the research potential of healthcare specialists in the republic of Kazakhstan in the implementation of clinical research: results of online questionnaires and self-assessments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Global crisis of clinical researcher shortage.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Оценка исследовательского потенциала специалистов здравоохранения республики Казахстан в области реализации клинических исследований: результаты онлайн анкетирования и самооценки. Глобальный кризис дефицита клинических исследователей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70c0"/>
                <w:rtl w:val="0"/>
              </w:rPr>
              <w:t xml:space="preserve">Г. У. Кулкаева, В. М. Тарасова, М. А. Граф, А. Б. Табаров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Possibilities of using methods for assessing the methodological quality of clinical trials.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Возможности использования методик оценки методологического качества клинических исследований.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Т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Ұ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РАР О.А., КУЛКАЕВА Г.У., АВДЕЕВ А.В., КАЛИЖАН М.К., АЛБАЕВ Р.К., ШАНАЗАРОВ Н.А.,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СИБАГАТОВА А.С., КАСИЕВА Б.С., НУРГОЖИН Т.С., ИСАБЕКОВА А.М.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/>
            </w:pP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https://pharmkaz.kz/wp-content/uploads/2024/10/4-2024-2.pdf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journal.ssmu.kz/upload/iblock/9d5/1ip82xm6hsdo0xq5a3s42thslhxskji6/07_014_6_25_2023.pdf" TargetMode="External"/><Relationship Id="rId7" Type="http://schemas.openxmlformats.org/officeDocument/2006/relationships/hyperlink" Target="https://pubmed.ncbi.nlm.nih.gov/39749153/" TargetMode="External"/><Relationship Id="rId8" Type="http://schemas.openxmlformats.org/officeDocument/2006/relationships/hyperlink" Target="https://pharmkaz.kz/wp-content/uploads/2024/10/4-2024-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