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37601" w14:textId="77777777" w:rsidR="004C4811" w:rsidRPr="00E61B6F" w:rsidRDefault="00855B1D" w:rsidP="00E61B6F">
      <w:pPr>
        <w:spacing w:line="276" w:lineRule="auto"/>
        <w:jc w:val="center"/>
        <w:rPr>
          <w:b/>
          <w:bCs/>
        </w:rPr>
      </w:pPr>
      <w:r>
        <w:rPr>
          <w:b/>
        </w:rPr>
        <w:t>АНАЛИЗ КЛИНИЧЕСКОГО ПРОТОКОЛА ПО ПРЕПАРАТАМ</w:t>
      </w:r>
    </w:p>
    <w:p>
      <w:pPr>
        <w:pStyle w:val="1"/>
      </w:pPr>
      <w:r>
        <w:t>Общее резюме протокола</w:t>
      </w:r>
    </w:p>
    <w:p>
      <w:pPr>
        <w:pStyle w:val="2"/>
      </w:pPr>
      <w:r>
        <w:t>Executive Summary Клинического Протокола</w:t>
      </w:r>
    </w:p>
    <w:p/>
    <w:p>
      <w:pPr>
        <w:pStyle w:val="2"/>
      </w:pPr>
      <w:r>
        <w:t># 📊 Общая характеристика протокола</w:t>
      </w:r>
    </w:p>
    <w:p>
      <w:r>
        <w:t>Представленный клинический протокол охватывает перечень из **7 терапевтических препаратов**, предназначенных для применения в рамках определенного клинического сценария. Анализ структуры протокола показывает попытку предоставить комплексный подход к терапии, однако детальное изучение демонстрирует значительный дисбаланс в качестве доказательной базы.</w:t>
      </w:r>
    </w:p>
    <w:p>
      <w:r>
        <w:t>Распределение препаратов по уровням доказательности (GRADE) выглядит следующим образом:</w:t>
      </w:r>
    </w:p>
    <w:p>
      <w:r>
        <w:t>*   **Уровень D:** 6 препаратов (что составляет 85.7% от общего числа).</w:t>
      </w:r>
    </w:p>
    <w:p>
      <w:r>
        <w:t>*   **Уровень A:** 1 препарат (14.3%).</w:t>
      </w:r>
    </w:p>
    <w:p>
      <w:r>
        <w:t>Общее количество найденных исследований по всем препаратам составляет **85**, из которых 20 – это мета-анализы, 40 – рандомизированные контролируемые исследования (РКИ), и 0 – систематические обзоры. Эта статистика, на первый взгляд, кажется обнадеживающей, однако подавляющее большинство высококачественных исследований (мета-анализы и РКИ) сосредоточено вокруг одного препарата с высоким уровнем доказательности. Для большинства препаратов протокола качество доказательной базы является крайне низким, что ставит под сомнение их эффективность и безопасность.</w:t>
      </w:r>
    </w:p>
    <w:p/>
    <w:p>
      <w:pPr>
        <w:pStyle w:val="2"/>
      </w:pPr>
      <w:r>
        <w:t># ✅ Сильные стороны протокола</w:t>
      </w:r>
    </w:p>
    <w:p>
      <w:r>
        <w:t>Несмотря на общий низкий уровень доказательности, протокол обладает несколькими ключевыми сильными сторонами, которые сосредоточены вокруг одного критически важного препарата:</w:t>
      </w:r>
    </w:p>
    <w:p>
      <w:r>
        <w:t>1.  **Включение высокоэффективного препарата с сильной доказательной базой:** Протокол включает "пенициллином" с уровнем доказательности **GRADE A**. Этот препарат является золотым стандартом для определенных инфекционных заболеваний и его наличие в протоколе критически важно.</w:t>
      </w:r>
    </w:p>
    <w:p>
      <w:r>
        <w:t>2.  **Широкое международное признание ключевого препарата:** "Пенициллином" не только одобрен FDA, но и включен в Британский национальный формуляр (BNF), Список основных лекарственных средств ВОЗ (WHO EML), а также в BNF Children. Это подтверждает его доказанную эффективность, безопасность и фундаментальную роль в медицине.</w:t>
      </w:r>
    </w:p>
    <w:p>
      <w:r>
        <w:t>3.  **Наличие ряда исследований для некоторых препаратов:** Хотя большинство препаратов имеют низкий уровень GRADE, некоторые из них, такие как "дииндолилметан" (8 РКИ) и "масло шиповника" (10 РКИ, 2 мета-анализа), обладают некоторым количеством первичных исследований, что может указывать на потенциальную область для дальнейшего изучения.</w:t>
      </w:r>
    </w:p>
    <w:p>
      <w:r>
        <w:t>4.  **Потенциал для комбинированной терапии:** Включение препаратов с различными механизмами действия может быть обосновано в контексте комплексного лечения, при условии, что каждая из составляющих имеет свою доказательную базу.</w:t>
      </w:r>
    </w:p>
    <w:p/>
    <w:p>
      <w:pPr>
        <w:pStyle w:val="2"/>
      </w:pPr>
      <w:r>
        <w:t># ⚠️ Слабые места и выявленные риски</w:t>
      </w:r>
    </w:p>
    <w:p>
      <w:r>
        <w:t>Основные слабые места протокола связаны с доминированием препаратов с низким уровнем доказательности, что создает значительные риски для пациентов и эффективности лечения:</w:t>
      </w:r>
    </w:p>
    <w:p>
      <w:r>
        <w:t>1.  **Преобладание препаратов с низким уровнем доказательности (GRADE D):** **6 из 7 препаратов** имеют уровень доказательности D, что означает, что польза не подтверждена, а вред не исключен, или имеются только экспертные мнения без качественных исследований. Примеры включают "масло облепихи", "масло шиповника", "дииндолилметан", "инозин пранобекс", "гистидил-глицил-валил-серил-глицил-гистидил-глицил-глутаминил-гистидил-глицил-валил-гистидил-глицин" и "алоэ".</w:t>
      </w:r>
    </w:p>
    <w:p>
      <w:r>
        <w:t>2.  **Крайне слабая доказательная база для некоторых препаратов:** "Масло облепихи" и "гистидил-глицил-валил-серил-глицил-гистидил-глицил-глутаминил-гистидил-глицил-валил-гистидил-глицин" не имеют **ни одного РКИ или мета-анализа**, несмотря на их включение в протокол. Это делает их применение полностью необоснованным с позиций доказательной медицины.</w:t>
      </w:r>
    </w:p>
    <w:p>
      <w:r>
        <w:t>3.  **Отсутствие в международных формулярах и регуляторных одобрений:** Большинство препаратов (6 из 7 не одобрены FDA, 5 из 7 не включены в BNF, 6 из 7 не включены в WHO EML) не имеют международного признания, что подчеркивает отсутствие широкой доказательной базы и регуляторного одобрения для их применения. Исключением является "инозин пранобекс", который включен в BNF, но при этом имеет уровень D и всего 2 РКИ.</w:t>
      </w:r>
    </w:p>
    <w:p>
      <w:r>
        <w:t>4.  **Потенциальные риски для пациентов:**</w:t>
      </w:r>
    </w:p>
    <w:p>
      <w:r>
        <w:t>*   **Риск неэффективности лечения:** Применение препаратов с недоказанной эффективностью может привести к задержке в назначении адекватной терапии, прогрессированию заболевания и ухудшению исходов для пациента.</w:t>
      </w:r>
    </w:p>
    <w:p>
      <w:r>
        <w:t>*   **Риск необоснованных затрат:** Расходование ресурсов (как финансовых, так и временных) на неэффективные вмешательства.</w:t>
      </w:r>
    </w:p>
    <w:p>
      <w:r>
        <w:t>*   **Риск побочных эффектов:** Даже "натуральные" или "дополнительные" средства могут иметь побочные эффекты, которые не были должным образом изучены в условиях отсутствия РКИ.</w:t>
      </w:r>
    </w:p>
    <w:p/>
    <w:p>
      <w:pPr>
        <w:pStyle w:val="2"/>
      </w:pPr>
      <w:r>
        <w:t># 🔍 Рекомендации по улучшению</w:t>
      </w:r>
    </w:p>
    <w:p>
      <w:r>
        <w:t>Для повышения качества и безопасности протокола требуются следующие шаги:</w:t>
      </w:r>
    </w:p>
    <w:p>
      <w:r>
        <w:t>1.  **Пересмотр препаратов с уровнем доказательности D:**</w:t>
      </w:r>
    </w:p>
    <w:p>
      <w:r>
        <w:t>*   **Удаление или замена:** Рекомендуется немедленно удалить из протокола "масло облепихи" и "гистидил-глицил-валил-серил-глицил-гистидил-глицил-глутаминил-гистидил-глицил-валил-гистидил-глицин" из-за полного отсутствия РКИ и мета-анализов.</w:t>
      </w:r>
    </w:p>
    <w:p>
      <w:r>
        <w:t>*   **Обоснование и дополнительное исследование:** Для "дииндолилметана" (8 РКИ), "масла шиповника" (10 РКИ, 2 мета-анализа), "инозин пранобекса" (2 РКИ) и "алоэ" (10 РКИ, 8 мета-анализов) требуется критическая оценка качества существующих исследований, их клинической значимости и систематические обзоры для определения истинного уровня доказательности. Если исследования низкого качества, препараты также должны быть исключены.</w:t>
      </w:r>
    </w:p>
    <w:p>
      <w:r>
        <w:t>2.  **Дополнение протокола доказательными альтернативами:** Необходимо активно искать и включать в протокол препараты с высоким уровнем доказательности (GRADE A и B) для тех клинических ситуаций, где в настоящее время предлагаются препараты GRADE D.</w:t>
      </w:r>
    </w:p>
    <w:p>
      <w:r>
        <w:t>3.  **Внедрение механизмов регулярного мониторинга и обновления:** Протокол должен подвергаться систематическому пересмотру (например, ежегодно или каждые 2 года) с учетом новых данных клинических исследований и обновлений международных рекомендаций.</w:t>
      </w:r>
    </w:p>
    <w:p>
      <w:r>
        <w:t>4.  **Поддержка высококачественных исследований:** Для препаратов, которые показывают предварительные многообещающие результаты, но имеют недостаточную доказательную базу, следует инициировать или поддерживать проведение хорошо спланированных РКИ и систематических обзоров.</w:t>
      </w:r>
    </w:p>
    <w:p>
      <w:r>
        <w:t>5.  **Требование обоснования каждого включенного препарата:** Для каждого препарата, особенно с уровнем доказательности ниже A или B, должно быть четкое клиническое обоснование и ссылка на соответствующие исследования, подтверждающие его эффективность и безопасность.</w:t>
      </w:r>
    </w:p>
    <w:p/>
    <w:p>
      <w:pPr>
        <w:pStyle w:val="2"/>
      </w:pPr>
      <w:r>
        <w:t># 📈 Итоговая оценка</w:t>
      </w:r>
    </w:p>
    <w:p>
      <w:r>
        <w:t>Общая оценка качества данного клинического протокола является **неудовлетворительной** с позиций современной доказательной медицины. Несмотря на включение одного препарата с высочайшим уровнем доказательности и международного признания ("пенициллином"), подавляющее большинство предложенных терапевтических вмешательств (6 из 7) основаны на крайне слабой или полностью отсутствующей доказательной базе.</w:t>
      </w:r>
    </w:p>
    <w:p>
      <w:r>
        <w:t>Протокол лишь частично соответствует современным стандартам доказательной медицины. Фактически, он содержит значительную долю эмпирических или традиционных подходов, которые не выдержали строгой научной проверки.</w:t>
      </w:r>
    </w:p>
    <w:p>
      <w:r>
        <w:t>**Заключение:** Для обеспечения безопасности пациентов, эффективности лечения и рационального использования ресурсов, данный протокол требует серьезного и всеобъемлющего пересмотра. Необходимо исключить или строго обосновать все препараты с уровнем доказательности D, приоритетно заменяя их на интервенции, подтвержденные высококачественными клиническими исследованиями и имеющие признание в международных руководствах. Без таких изменений протокол не может считаться надежным инструментом для принятия клинических решений в современной медицинской практике.</w:t>
      </w:r>
    </w:p>
    <w:p/>
    <w:p/>
    <w:tbl>
      <w:tblPr>
        <w:tblStyle w:val="afb"/>
        <w:tblW w:type="auto" w:w="0"/>
        <w:tblLook w:firstColumn="1" w:firstRow="1" w:lastColumn="0" w:lastRow="0" w:noHBand="0" w:noVBand="1" w:val="04A0"/>
      </w:tblPr>
      <w:tblGrid>
        <w:gridCol w:w="1956"/>
        <w:gridCol w:w="1956"/>
        <w:gridCol w:w="1956"/>
        <w:gridCol w:w="1956"/>
        <w:gridCol w:w="1956"/>
      </w:tblGrid>
      <w:tr>
        <w:tc>
          <w:tcPr>
            <w:tcW w:type="dxa" w:w="1956"/>
          </w:tcPr>
          <w:p>
            <w:pPr>
              <w:jc w:val="both"/>
            </w:pPr>
            <w:r>
              <w:rPr>
                <w:b w:val="0"/>
              </w:rPr>
              <w:t>Сведения о препаратах клинического протокола</w:t>
            </w:r>
          </w:p>
        </w:tc>
        <w:tc>
          <w:tcPr>
            <w:tcW w:type="dxa" w:w="1956"/>
          </w:tcPr>
          <w:p>
            <w:pPr>
              <w:jc w:val="both"/>
            </w:pPr>
            <w:r>
              <w:rPr>
                <w:b w:val="0"/>
              </w:rPr>
              <w:t>Сведения о препаратах клинического протокола</w:t>
            </w:r>
          </w:p>
        </w:tc>
        <w:tc>
          <w:tcPr>
            <w:tcW w:type="dxa" w:w="1956"/>
          </w:tcPr>
          <w:p>
            <w:pPr>
              <w:jc w:val="both"/>
            </w:pPr>
            <w:r>
              <w:rPr>
                <w:b w:val="0"/>
              </w:rPr>
              <w:t>Сведения о препаратах клинического протокола</w:t>
            </w:r>
          </w:p>
        </w:tc>
        <w:tc>
          <w:tcPr>
            <w:tcW w:type="dxa" w:w="1956"/>
          </w:tcPr>
          <w:p>
            <w:pPr>
              <w:jc w:val="both"/>
            </w:pPr>
            <w:r>
              <w:rPr>
                <w:b w:val="0"/>
              </w:rPr>
              <w:t>Сведения о препаратах клинического протокола</w:t>
            </w:r>
          </w:p>
        </w:tc>
        <w:tc>
          <w:tcPr>
            <w:tcW w:type="dxa" w:w="1956"/>
          </w:tcPr>
          <w:p>
            <w:pPr>
              <w:jc w:val="both"/>
            </w:pPr>
            <w:r>
              <w:rPr>
                <w:b w:val="0"/>
              </w:rPr>
              <w:t>Сведения о препаратах клинического протокола</w:t>
            </w:r>
          </w:p>
        </w:tc>
      </w:tr>
      <w:tr>
        <w:tc>
          <w:tcPr>
            <w:tcW w:type="dxa" w:w="1956"/>
          </w:tcPr>
          <w:p>
            <w:pPr>
              <w:jc w:val="both"/>
            </w:pPr>
            <w:r>
              <w:t>В результате проведенной методологической оценки клинического протокола проанализировано 7 препаратов.</w:t>
            </w:r>
          </w:p>
        </w:tc>
        <w:tc>
          <w:tcPr>
            <w:tcW w:type="dxa" w:w="1956"/>
          </w:tcPr>
          <w:p>
            <w:pPr>
              <w:jc w:val="both"/>
            </w:pPr>
            <w:r>
              <w:t>В результате проведенной методологической оценки клинического протокола проанализировано 7 препаратов.</w:t>
            </w:r>
          </w:p>
        </w:tc>
        <w:tc>
          <w:tcPr>
            <w:tcW w:type="dxa" w:w="1956"/>
          </w:tcPr>
          <w:p>
            <w:pPr>
              <w:jc w:val="both"/>
            </w:pPr>
            <w:r>
              <w:t>В результате проведенной методологической оценки клинического протокола проанализировано 7 препаратов.</w:t>
            </w:r>
          </w:p>
        </w:tc>
        <w:tc>
          <w:tcPr>
            <w:tcW w:type="dxa" w:w="1956"/>
          </w:tcPr>
          <w:p>
            <w:pPr>
              <w:jc w:val="both"/>
            </w:pPr>
            <w:r>
              <w:t>В результате проведенной методологической оценки клинического протокола проанализировано 7 препаратов.</w:t>
            </w:r>
          </w:p>
        </w:tc>
        <w:tc>
          <w:tcPr>
            <w:tcW w:type="dxa" w:w="1956"/>
          </w:tcPr>
          <w:p>
            <w:pPr>
              <w:jc w:val="both"/>
            </w:pPr>
            <w:r>
              <w:t>В результате проведенной методологической оценки клинического протокола проанализировано 7 препаратов.</w:t>
            </w:r>
          </w:p>
        </w:tc>
      </w:tr>
      <w:tr>
        <w:tc>
          <w:tcPr>
            <w:tcW w:type="dxa" w:w="1956"/>
          </w:tcPr>
          <w:p>
            <w:pPr>
              <w:jc w:val="both"/>
            </w:pPr>
            <w:r>
              <w:t>масло облепихи</w:t>
            </w:r>
          </w:p>
        </w:tc>
        <w:tc>
          <w:tcPr>
            <w:tcW w:type="dxa" w:w="1956"/>
          </w:tcPr>
          <w:p>
            <w:pPr>
              <w:jc w:val="both"/>
            </w:pPr>
            <w:r>
              <w:t>sea buckthorn oil</w:t>
            </w:r>
          </w:p>
        </w:tc>
        <w:tc>
          <w:tcPr>
            <w:tcW w:type="dxa" w:w="1956"/>
          </w:tcPr>
          <w:p>
            <w:pPr>
              <w:jc w:val="both"/>
            </w:pPr>
            <w:r>
              <w:t>УД: D</w:t>
            </w:r>
          </w:p>
        </w:tc>
        <w:tc>
          <w:tcPr>
            <w:tcW w:type="dxa" w:w="1956"/>
          </w:tcPr>
          <w:p>
            <w:pPr>
              <w:jc w:val="both"/>
            </w:pPr>
            <w:r>
              <w:t>EMA, Казахстан</w:t>
            </w:r>
          </w:p>
        </w:tc>
        <w:tc>
          <w:tcPr>
            <w:tcW w:type="dxa" w:w="1956"/>
          </w:tcPr>
          <w:p>
            <w:pPr>
              <w:jc w:val="both"/>
            </w:pPr>
            <w:r>
              <w:t>Способ: topical</w:t>
            </w:r>
          </w:p>
        </w:tc>
      </w:tr>
      <w:tr>
        <w:tc>
          <w:tcPr>
            <w:tcW w:type="dxa" w:w="1956"/>
          </w:tcPr>
          <w:p>
            <w:pPr>
              <w:jc w:val="both"/>
            </w:pPr>
            <w:r>
              <w:t>дииндолилметан</w:t>
            </w:r>
          </w:p>
        </w:tc>
        <w:tc>
          <w:tcPr>
            <w:tcW w:type="dxa" w:w="1956"/>
          </w:tcPr>
          <w:p>
            <w:pPr>
              <w:jc w:val="both"/>
            </w:pPr>
            <w:r>
              <w:t>Diindolylmethane</w:t>
              <w:br/>
              <w:t>(Дииндолилметан)</w:t>
            </w:r>
          </w:p>
        </w:tc>
        <w:tc>
          <w:tcPr>
            <w:tcW w:type="dxa" w:w="1956"/>
          </w:tcPr>
          <w:p>
            <w:pPr>
              <w:jc w:val="both"/>
            </w:pPr>
            <w:r>
              <w:t>УД: D</w:t>
            </w:r>
          </w:p>
        </w:tc>
        <w:tc>
          <w:tcPr>
            <w:tcW w:type="dxa" w:w="1956"/>
          </w:tcPr>
          <w:p>
            <w:pPr>
              <w:jc w:val="both"/>
            </w:pPr>
            <w:r>
              <w:t>Не найдено</w:t>
            </w:r>
          </w:p>
        </w:tc>
        <w:tc>
          <w:tcPr>
            <w:tcW w:type="dxa" w:w="1956"/>
          </w:tcPr>
          <w:p>
            <w:pPr>
              <w:jc w:val="both"/>
            </w:pPr>
            <w:r>
              <w:t>РКИ: 8</w:t>
            </w:r>
          </w:p>
        </w:tc>
      </w:tr>
      <w:tr>
        <w:tc>
          <w:tcPr>
            <w:tcW w:type="dxa" w:w="1956"/>
          </w:tcPr>
          <w:p>
            <w:pPr>
              <w:jc w:val="both"/>
            </w:pPr>
            <w:r>
              <w:t>масло шиповника</w:t>
            </w:r>
          </w:p>
        </w:tc>
        <w:tc>
          <w:tcPr>
            <w:tcW w:type="dxa" w:w="1956"/>
          </w:tcPr>
          <w:p>
            <w:pPr>
              <w:jc w:val="both"/>
            </w:pPr>
            <w:r>
              <w:t>Rosehip oil</w:t>
            </w:r>
          </w:p>
        </w:tc>
        <w:tc>
          <w:tcPr>
            <w:tcW w:type="dxa" w:w="1956"/>
          </w:tcPr>
          <w:p>
            <w:pPr>
              <w:jc w:val="both"/>
            </w:pPr>
            <w:r>
              <w:t>УД: D</w:t>
            </w:r>
          </w:p>
        </w:tc>
        <w:tc>
          <w:tcPr>
            <w:tcW w:type="dxa" w:w="1956"/>
          </w:tcPr>
          <w:p>
            <w:pPr>
              <w:jc w:val="both"/>
            </w:pPr>
            <w:r>
              <w:t>Казахстан</w:t>
            </w:r>
          </w:p>
        </w:tc>
        <w:tc>
          <w:tcPr>
            <w:tcW w:type="dxa" w:w="1956"/>
          </w:tcPr>
          <w:p>
            <w:pPr>
              <w:jc w:val="both"/>
            </w:pPr>
            <w:r>
              <w:t>Способ: topical</w:t>
              <w:br/>
              <w:t>Мета-анализы: 2; РКИ: 10</w:t>
            </w:r>
          </w:p>
        </w:tc>
      </w:tr>
      <w:tr>
        <w:tc>
          <w:tcPr>
            <w:tcW w:type="dxa" w:w="1956"/>
          </w:tcPr>
          <w:p>
            <w:pPr>
              <w:jc w:val="both"/>
            </w:pPr>
            <w:r>
              <w:t>инозин пранобекс</w:t>
            </w:r>
          </w:p>
        </w:tc>
        <w:tc>
          <w:tcPr>
            <w:tcW w:type="dxa" w:w="1956"/>
          </w:tcPr>
          <w:p>
            <w:pPr>
              <w:jc w:val="both"/>
            </w:pPr>
            <w:r>
              <w:t>Inosine pranobex</w:t>
              <w:br/>
              <w:t>(Инозин пранобекс)</w:t>
            </w:r>
          </w:p>
        </w:tc>
        <w:tc>
          <w:tcPr>
            <w:tcW w:type="dxa" w:w="1956"/>
          </w:tcPr>
          <w:p>
            <w:pPr>
              <w:jc w:val="both"/>
            </w:pPr>
            <w:r>
              <w:t>УД: D</w:t>
            </w:r>
          </w:p>
        </w:tc>
        <w:tc>
          <w:tcPr>
            <w:tcW w:type="dxa" w:w="1956"/>
          </w:tcPr>
          <w:p>
            <w:pPr>
              <w:jc w:val="both"/>
            </w:pPr>
            <w:r>
              <w:t>BNF, Казахстан</w:t>
            </w:r>
          </w:p>
        </w:tc>
        <w:tc>
          <w:tcPr>
            <w:tcW w:type="dxa" w:w="1956"/>
          </w:tcPr>
          <w:p>
            <w:pPr>
              <w:jc w:val="both"/>
            </w:pPr>
            <w:r>
              <w:t>РКИ: 2</w:t>
            </w:r>
          </w:p>
        </w:tc>
      </w:tr>
      <w:tr>
        <w:tc>
          <w:tcPr>
            <w:tcW w:type="dxa" w:w="1956"/>
          </w:tcPr>
          <w:p>
            <w:pPr>
              <w:jc w:val="both"/>
            </w:pPr>
            <w:r>
              <w:t>гистидил-глицил-валил-серил-глицил-гистидил-глицил-глутаминил-гистидил-глицил-валил-гистидил-глицин</w:t>
            </w:r>
          </w:p>
        </w:tc>
        <w:tc>
          <w:tcPr>
            <w:tcW w:type="dxa" w:w="1956"/>
          </w:tcPr>
          <w:p>
            <w:pPr>
              <w:jc w:val="both"/>
            </w:pPr>
            <w:r>
              <w:t>Histidine-Glycine-Valine-Serine-Glycine-Histidine-Glycine-Glutamine-Histidine-Glycine-Valine-Histidine-Glycine</w:t>
              <w:br/>
              <w:t>(гистидил-глицил-валил-серил-глицил-гистидил-глицил-глутаминил-гистидил-глицил-валил-гистидил-глицин)</w:t>
            </w:r>
          </w:p>
        </w:tc>
        <w:tc>
          <w:tcPr>
            <w:tcW w:type="dxa" w:w="1956"/>
          </w:tcPr>
          <w:p>
            <w:pPr>
              <w:jc w:val="both"/>
            </w:pPr>
            <w:r>
              <w:t>УД: D</w:t>
            </w:r>
          </w:p>
        </w:tc>
        <w:tc>
          <w:tcPr>
            <w:tcW w:type="dxa" w:w="1956"/>
          </w:tcPr>
          <w:p>
            <w:pPr>
              <w:jc w:val="both"/>
            </w:pPr>
            <w:r>
              <w:t>Казахстан</w:t>
            </w:r>
          </w:p>
        </w:tc>
        <w:tc>
          <w:tcPr>
            <w:tcW w:type="dxa" w:w="1956"/>
          </w:tcPr>
          <w:p>
            <w:pPr>
              <w:jc w:val="both"/>
            </w:pPr>
            <w:r>
              <w:t>Нет дополнительной информации</w:t>
            </w:r>
          </w:p>
        </w:tc>
      </w:tr>
      <w:tr>
        <w:tc>
          <w:tcPr>
            <w:tcW w:type="dxa" w:w="1956"/>
          </w:tcPr>
          <w:p>
            <w:pPr>
              <w:jc w:val="both"/>
            </w:pPr>
            <w:r>
              <w:t>пенициллином</w:t>
            </w:r>
          </w:p>
        </w:tc>
        <w:tc>
          <w:tcPr>
            <w:tcW w:type="dxa" w:w="1956"/>
          </w:tcPr>
          <w:p>
            <w:pPr>
              <w:jc w:val="both"/>
            </w:pPr>
            <w:r>
              <w:t>Penicillin</w:t>
              <w:br/>
              <w:t>(Пенициллин)</w:t>
            </w:r>
          </w:p>
        </w:tc>
        <w:tc>
          <w:tcPr>
            <w:tcW w:type="dxa" w:w="1956"/>
          </w:tcPr>
          <w:p>
            <w:pPr>
              <w:jc w:val="both"/>
            </w:pPr>
            <w:r>
              <w:t>УД: A</w:t>
            </w:r>
          </w:p>
        </w:tc>
        <w:tc>
          <w:tcPr>
            <w:tcW w:type="dxa" w:w="1956"/>
          </w:tcPr>
          <w:p>
            <w:pPr>
              <w:jc w:val="both"/>
            </w:pPr>
            <w:r>
              <w:t>BNF, WHO EML, FDA, Казахстан</w:t>
            </w:r>
          </w:p>
        </w:tc>
        <w:tc>
          <w:tcPr>
            <w:tcW w:type="dxa" w:w="1956"/>
          </w:tcPr>
          <w:p>
            <w:pPr>
              <w:jc w:val="both"/>
            </w:pPr>
            <w:r>
              <w:t>Мета-анализы: 10; РКИ: 10</w:t>
            </w:r>
          </w:p>
        </w:tc>
      </w:tr>
      <w:tr>
        <w:tc>
          <w:tcPr>
            <w:tcW w:type="dxa" w:w="1956"/>
          </w:tcPr>
          <w:p>
            <w:pPr>
              <w:jc w:val="both"/>
            </w:pPr>
            <w:r>
              <w:t>алоэ</w:t>
            </w:r>
          </w:p>
        </w:tc>
        <w:tc>
          <w:tcPr>
            <w:tcW w:type="dxa" w:w="1956"/>
          </w:tcPr>
          <w:p>
            <w:pPr>
              <w:jc w:val="both"/>
            </w:pPr>
            <w:r>
              <w:t>Aloe</w:t>
              <w:br/>
              <w:t>(Алоэ)</w:t>
            </w:r>
          </w:p>
        </w:tc>
        <w:tc>
          <w:tcPr>
            <w:tcW w:type="dxa" w:w="1956"/>
          </w:tcPr>
          <w:p>
            <w:pPr>
              <w:jc w:val="both"/>
            </w:pPr>
            <w:r>
              <w:t>УД: D</w:t>
            </w:r>
          </w:p>
        </w:tc>
        <w:tc>
          <w:tcPr>
            <w:tcW w:type="dxa" w:w="1956"/>
          </w:tcPr>
          <w:p>
            <w:pPr>
              <w:jc w:val="both"/>
            </w:pPr>
            <w:r>
              <w:t>Казахстан</w:t>
            </w:r>
          </w:p>
        </w:tc>
        <w:tc>
          <w:tcPr>
            <w:tcW w:type="dxa" w:w="1956"/>
          </w:tcPr>
          <w:p>
            <w:pPr>
              <w:jc w:val="both"/>
            </w:pPr>
            <w:r>
              <w:t>Способ: topical</w:t>
              <w:br/>
              <w:t>Мета-анализы: 8; РКИ: 10</w:t>
            </w:r>
          </w:p>
        </w:tc>
      </w:tr>
    </w:tbl>
    <w:p/>
    <w:p>
      <w:pPr>
        <w:jc w:val="center"/>
      </w:pPr>
      <w:r>
        <w:rPr>
          <w:b/>
        </w:rPr>
        <w:t>ДЕТАЛЬНАЯ ИНФОРМАЦИЯ ПО ПРЕПАРАТАМ</w:t>
      </w:r>
    </w:p>
    <w:p/>
    <w:p>
      <w:pPr>
        <w:pStyle w:val="2"/>
      </w:pPr>
      <w:r>
        <w:t>1. масло облепихи</w:t>
      </w:r>
    </w:p>
    <w:p>
      <w:r>
        <w:rPr>
          <w:b/>
        </w:rPr>
        <w:t xml:space="preserve">МНН (англ): </w:t>
      </w:r>
      <w:r>
        <w:t>sea buckthorn oil</w:t>
      </w:r>
    </w:p>
    <w:p>
      <w:r>
        <w:rPr>
          <w:b/>
        </w:rPr>
        <w:t xml:space="preserve">Способ введения: </w:t>
      </w:r>
      <w:r>
        <w:t>topical</w:t>
      </w:r>
    </w:p>
    <w:p>
      <w:r>
        <w:rPr>
          <w:b/>
        </w:rPr>
        <w:t xml:space="preserve">Уровень доказательности (GRADE): </w:t>
      </w:r>
      <w:r>
        <w:t>D</w:t>
      </w:r>
    </w:p>
    <w:p>
      <w:r>
        <w:rPr>
          <w:b/>
        </w:rPr>
        <w:t xml:space="preserve">Обоснование: </w:t>
      </w:r>
      <w:r>
        <w:t>Уровень доказательности GRADE D присвоен, поскольку отсутствуют какие-либо мета-анализы (0), систематические обзоры (0) или рандомизированные контролируемые исследования (0), которые могли бы подтвердить эффективность и безопасность топического применения масла облепихи. Общее количество найденных статей (2) представлено лишь предварительными исследованиями, одно из которых не фокусируется напрямую на масле облепихи как таковом, а на одном из его компонентов или в составе сложных препаратов. Препарат не одобрен FDA, не включен в Британский национальный формуляр (BNF) и Перечень основных лекарственных средств ВОЗ (WHO EML), что дополнительно подтверждает отсутствие признанной клинической ценности и доказательной базы.</w:t>
      </w:r>
    </w:p>
    <w:p>
      <w:r>
        <w:rPr>
          <w:b/>
        </w:rPr>
        <w:t xml:space="preserve">Полнота описания: </w:t>
      </w:r>
      <w:r>
        <w:t>Описание препарата в протоколе достаточно полное для оценки, включая наименование, МНН, путь введения, а также данные о найденных исследованиях и регуляторном статусе.</w:t>
      </w:r>
    </w:p>
    <w:p>
      <w:r>
        <w:rPr>
          <w:b/>
        </w:rPr>
        <w:t xml:space="preserve">Замечания по соответствию стандартам: </w:t>
      </w:r>
      <w:r>
        <w:t>Информация о препарате представлена в соответствии с запросом, отсутствуют замечания по соответствию стандартам предоставления данных.</w:t>
      </w:r>
    </w:p>
    <w:p/>
    <w:p>
      <w:r>
        <w:rPr>
          <w:b/>
        </w:rPr>
        <w:t>Комментарии по доказательной базе:</w:t>
      </w:r>
    </w:p>
    <w:p>
      <w:r>
        <w:rPr>
          <w:b/>
        </w:rPr>
        <w:t xml:space="preserve">Оценка назначения: </w:t>
      </w:r>
      <w:r>
        <w:t>Назначение масла облепихи для топического применения не имеет достаточной доказательной базы для клинических рекомендаций. Отсутствие высококачественных исследований (РКИ, систематических обзоров, мета-анализов) и регуляторных одобрений указывает на крайне ограниченное понимание его эффективности и безопасности.</w:t>
      </w:r>
    </w:p>
    <w:p>
      <w:r>
        <w:rPr>
          <w:b/>
        </w:rPr>
        <w:t xml:space="preserve">Общие замечания: </w:t>
      </w:r>
      <w:r>
        <w:t>Отсутствие одобрения FDA, включения в BNF или WHO EML подчеркивает отсутствие признанной клинической ценности и стандартизации применения масла облепихи. Имеющиеся исследования носят очень предварительный характер и не могут служить основой для клинических рекомендаций.</w:t>
      </w:r>
    </w:p>
    <w:p>
      <w:r>
        <w:rPr>
          <w:b/>
        </w:rPr>
        <w:t xml:space="preserve">Резюме исследований: </w:t>
      </w:r>
      <w:r>
        <w:t>Найдено всего 2 статьи в PubMed, ни одна из которых не является мета-анализом, систематическим обзором или РКИ, напрямую оценивающим топическое применение масла облепихи. Одна статья (PMID: 32636706) касается солнцезащитного потенциала травяных солнцезащитных средств из афганских лекарственных растений, где масло облепихи может быть одним из компонентов, но не является основным объектом исследования. Вторая статья (PMID: 33441597) исследует Omega-7 oil (компонент облепихового масла) и его влияние на активность теломеразы и заживление ожогов, что является предварительным исследованием компонента, а не всего масла облепихи как препарата.</w:t>
      </w:r>
    </w:p>
    <w:p>
      <w:r>
        <w:rPr>
          <w:b/>
        </w:rPr>
        <w:t xml:space="preserve">Качество доказательств: </w:t>
      </w:r>
      <w:r>
        <w:t>недостаточно данных</w:t>
      </w:r>
    </w:p>
    <w:p>
      <w:r>
        <w:rPr>
          <w:b/>
        </w:rPr>
        <w:t>Руководство по самостоятельной проверке доказательной базы:</w:t>
      </w:r>
    </w:p>
    <w:p>
      <w:r>
        <w:t>Для дальнейшей оценки рекомендуется проведение расширенного поиска по базам данных PubMed, Embase, Cochrane Library с использованием запросов: "sea buckthorn oil topical efficacy", "Hippophae rhamnoides skin care", "sea buckthorn oil wound healing clinical trial". Также следует проверить базы данных клинических исследований (ClinicalTrials.gov, EU Clinical Trials Register) на предмет текущих или завершенных исследований.</w:t>
      </w:r>
    </w:p>
    <w:p/>
    <w:p>
      <w:r>
        <w:rPr>
          <w:b/>
        </w:rPr>
        <w:t xml:space="preserve">Резюме: </w:t>
      </w:r>
      <w:r>
        <w:t>Для масла облепихи обнаружено: мета-анализы: 0, систематические обзоры: 0, РКИ: 0, всего: 2 исследования. Уровень доказательности присвоен D. Логика присвоения уровня D основана на полном отсутствии высокоуровневых доказательств (РКИ, систематических обзоров, мета-анализов) и крайне ограниченном количестве предварительных исследований. Это означает, что нет достаточных оснований для рекомендации применения данного препарата в клинической практике, и его эффективность/безопасность не подтверждены.</w:t>
      </w:r>
    </w:p>
    <w:p/>
    <w:p>
      <w:r>
        <w:rPr>
          <w:b/>
        </w:rPr>
        <w:t>Статус регистрации и одобрения:</w:t>
      </w:r>
    </w:p>
    <w:p>
      <w:r>
        <w:rPr>
          <w:b w:val="0"/>
        </w:rPr>
        <w:t xml:space="preserve">• </w:t>
      </w:r>
      <w:r>
        <w:t>• Одобрен EMA</w:t>
      </w:r>
    </w:p>
    <w:p>
      <w:r>
        <w:rPr>
          <w:b w:val="0"/>
        </w:rPr>
        <w:t xml:space="preserve">• </w:t>
      </w:r>
      <w:r>
        <w:t>• Зарегистрирован в Казахстане (Статус: Регистрация) (Перерегистрация: 6/25/2019 12:00:00 AM) (Номер: РК-ЛС-5№024185) (Форма: Субстанция)</w:t>
      </w:r>
    </w:p>
    <w:p/>
    <w:p>
      <w:r>
        <w:rPr>
          <w:b/>
        </w:rPr>
        <w:t>Исследования:</w:t>
      </w:r>
    </w:p>
    <w:p>
      <w:r>
        <w:t>Всего найдено исследований: 2</w:t>
      </w:r>
    </w:p>
    <w:p/>
    <w:p>
      <w:r>
        <w:rPr>
          <w:b/>
        </w:rPr>
        <w:t>Комментарии:</w:t>
      </w:r>
    </w:p>
    <w:p>
      <w:r>
        <w:t>Found 32 record(s) in EMA database. Назначение off-label (FDA).</w:t>
      </w:r>
    </w:p>
    <w:p/>
    <w:p>
      <w:pPr>
        <w:pStyle w:val="2"/>
      </w:pPr>
      <w:r>
        <w:t>2. дииндолилметан</w:t>
      </w:r>
    </w:p>
    <w:p>
      <w:r>
        <w:rPr>
          <w:b/>
        </w:rPr>
        <w:t xml:space="preserve">МНН (англ): </w:t>
      </w:r>
      <w:r>
        <w:t>Diindolylmethane</w:t>
      </w:r>
    </w:p>
    <w:p>
      <w:r>
        <w:rPr>
          <w:b/>
        </w:rPr>
        <w:t xml:space="preserve">МНН (рус): </w:t>
      </w:r>
      <w:r>
        <w:t>Дииндолилметан</w:t>
      </w:r>
    </w:p>
    <w:p>
      <w:r>
        <w:rPr>
          <w:b/>
        </w:rPr>
        <w:t xml:space="preserve">Уровень доказательности (GRADE): </w:t>
      </w:r>
      <w:r>
        <w:t>D</w:t>
      </w:r>
    </w:p>
    <w:p>
      <w:r>
        <w:rPr>
          <w:b/>
        </w:rPr>
        <w:t xml:space="preserve">Обоснование: </w:t>
      </w:r>
      <w:r>
        <w:t>Уровень доказательности 'D' присвоен в связи с полным отсутствием высококачественных доказательств (мета-анализов, систематических обзоров, РКИ), подтверждающих эффективность и безопасность дииндолилметана для любой терапевтической цели. Всего найдено 4 статьи в PubMed, однако их заголовки не указывают на прямое отношение к дииндолилметану как исследуемому веществу, что делает их нерелевантными для оценки доказательной базы препарата. Препарат не одобрен FDA, не включен в BNF и WHO EML, что дополнительно подтверждает отсутствие признанной доказательной базы и регуляторного статуса.</w:t>
      </w:r>
    </w:p>
    <w:p>
      <w:r>
        <w:rPr>
          <w:b/>
        </w:rPr>
        <w:t xml:space="preserve">Полнота описания: </w:t>
      </w:r>
      <w:r>
        <w:t>Описание препарата в протоколе является неполным, так как отсутствуют сведения о рекомендуемой дозировке, пути введения, режиме и длительности применения. Эти параметры критически важны для оценки применимости и безопасности.</w:t>
      </w:r>
    </w:p>
    <w:p>
      <w:r>
        <w:rPr>
          <w:b/>
        </w:rPr>
        <w:t xml:space="preserve">Замечания по соответствию стандартам: </w:t>
      </w:r>
      <w:r>
        <w:t>Препарат не соответствует стандартам для включения в клинические протоколы без указания специфических показаний, дозировок и режимов. Отсутствие одобрения регуляторными органами (FDA, BNF, WHO EML) указывает на то, что препарат не имеет общепризнанного медицинского применения, основанного на достаточной доказательной базе.</w:t>
      </w:r>
    </w:p>
    <w:p/>
    <w:p>
      <w:r>
        <w:rPr>
          <w:b/>
        </w:rPr>
        <w:t>Комментарии по доказательной базе:</w:t>
      </w:r>
    </w:p>
    <w:p>
      <w:r>
        <w:rPr>
          <w:b/>
        </w:rPr>
        <w:t xml:space="preserve">Оценка назначения: </w:t>
      </w:r>
      <w:r>
        <w:t>Назначение дииндолилметана с точки зрения доказательной медицины не может быть обосновано при текущем уровне данных. Отсутствие высококачественных исследований (РКИ, мета-анализов, систематических обзоров) и регуляторного одобрения не позволяет рекомендовать его использование для какой-либо конкретной индикации.</w:t>
      </w:r>
    </w:p>
    <w:p>
      <w:r>
        <w:rPr>
          <w:b/>
        </w:rPr>
        <w:t xml:space="preserve">Общие замечания: </w:t>
      </w:r>
      <w:r>
        <w:t>Дииндолилметан часто позиционируется как пищевая добавка, влияющая на метаболизм эстрогенов, но его клиническая эффективность и безопасность не подтверждены достаточным количеством доказательств.</w:t>
      </w:r>
    </w:p>
    <w:p>
      <w:r>
        <w:rPr>
          <w:b/>
        </w:rPr>
        <w:t xml:space="preserve">Резюме исследований: </w:t>
      </w:r>
      <w:r>
        <w:t>Поиск по дииндолилметану выявил 0 мета-анализов, 0 систематических обзоров и 0 рандомизированных контролируемых исследований. Было найдено 4 статьи в PubMed, однако заголовки этих статей («Advances in Preventive and Therapeutic Approaches for Dental Erosion», «Rate of malignant transformation of oral lichen planus», «Single-cell transcriptomics of popliteal lymphatic vessels», «Ten weeks of high-intensity interval walk training») не указывают на прямую связь с исследованием дииндолилметана как активного вещества или интервенции. Таким образом, эти статьи не предоставляют доказательств эффективности или безопасности дииндолилметана.</w:t>
      </w:r>
    </w:p>
    <w:p>
      <w:r>
        <w:rPr>
          <w:b/>
        </w:rPr>
        <w:t xml:space="preserve">Качество доказательств: </w:t>
      </w:r>
      <w:r>
        <w:t>Недостаточно данных. Имеющиеся статьи не относятся к прямому исследованию дииндолилметана, а высококачественные исследования отсутствуют.</w:t>
      </w:r>
    </w:p>
    <w:p>
      <w:r>
        <w:rPr>
          <w:b/>
        </w:rPr>
        <w:t>Руководство по самостоятельной проверке доказательной базы:</w:t>
      </w:r>
    </w:p>
    <w:p>
      <w:r>
        <w:t>Для дальнейшей оценки необходимо провести целенаправленный поиск в PubMed, Cochrane Library, Embase, ClinicalTrials.gov, используя запросы: "Diindolylmethane clinical trials", "DIM human studies", "Diindolylmethane efficacy safety". Следует обращать внимание на рандомизированные контролируемые исследования, систематические обзоры и мета-анализы по конкретным показаниям.</w:t>
      </w:r>
    </w:p>
    <w:p/>
    <w:p>
      <w:r>
        <w:rPr>
          <w:b/>
        </w:rPr>
        <w:t xml:space="preserve">Резюме: </w:t>
      </w:r>
      <w:r>
        <w:t>На основе проведенного анализа, обнаружено: мета-анализы: 0, систематические обзоры: 0, РКИ: 0, всего: 4 статьи в PubMed, которые не имеют прямого отношения к исследованию дииндолилметана. Логика присвоения уровня D основана на полном отсутствии высококачественных клинических исследований (РКИ, систематических обзоров, мета-анализов), прямо исследующих дииндолилметан, и его непризнании ведущими регуляторными органами. Это указывает на недостаточность или отсутствие доказательств для какого-либо клинического применения.</w:t>
      </w:r>
    </w:p>
    <w:p/>
    <w:p>
      <w:r>
        <w:rPr>
          <w:b/>
        </w:rPr>
        <w:t>Статус регистрации и одобрения:</w:t>
      </w:r>
    </w:p>
    <w:p>
      <w:r>
        <w:rPr>
          <w:b w:val="0"/>
        </w:rPr>
        <w:t xml:space="preserve">• </w:t>
      </w:r>
      <w:r>
        <w:t>Не найдено</w:t>
      </w:r>
    </w:p>
    <w:p/>
    <w:p>
      <w:r>
        <w:rPr>
          <w:b/>
        </w:rPr>
        <w:t>Исследования:</w:t>
      </w:r>
    </w:p>
    <w:p>
      <w:r>
        <w:t>РКИ: 8; Всего найдено исследований: 9</w:t>
      </w:r>
    </w:p>
    <w:p/>
    <w:p>
      <w:r>
        <w:rPr>
          <w:b/>
        </w:rPr>
        <w:t>Комментарии:</w:t>
      </w:r>
    </w:p>
    <w:p>
      <w:r>
        <w:t>INN "Diindolylmethane" not found in EMA database. Назначение off-label (FDA).</w:t>
      </w:r>
    </w:p>
    <w:p/>
    <w:p>
      <w:pPr>
        <w:pStyle w:val="2"/>
      </w:pPr>
      <w:r>
        <w:t>3. масло шиповника</w:t>
      </w:r>
    </w:p>
    <w:p>
      <w:r>
        <w:rPr>
          <w:b/>
        </w:rPr>
        <w:t xml:space="preserve">МНН (англ): </w:t>
      </w:r>
      <w:r>
        <w:t>Rosehip oil</w:t>
      </w:r>
    </w:p>
    <w:p>
      <w:r>
        <w:rPr>
          <w:b/>
        </w:rPr>
        <w:t xml:space="preserve">Способ введения: </w:t>
      </w:r>
      <w:r>
        <w:t>topical</w:t>
      </w:r>
    </w:p>
    <w:p>
      <w:r>
        <w:rPr>
          <w:b/>
        </w:rPr>
        <w:t xml:space="preserve">Уровень доказательности (GRADE): </w:t>
      </w:r>
      <w:r>
        <w:t>D</w:t>
      </w:r>
    </w:p>
    <w:p>
      <w:r>
        <w:rPr>
          <w:b/>
        </w:rPr>
        <w:t xml:space="preserve">Обоснование: </w:t>
      </w:r>
      <w:r>
        <w:t>Уровень доказательности 'D' присвоен на основании следующих данных: 0 мета-анализов, 0 систематических обзоров, 0 рандомизированных контролируемых исследований (РКИ) на людях, а также отсутствие клинических исследований на ClinicalTrials.gov. Из 5 найденных статей в PubMed ни одна не относится к клиническим испытаниям терапевтической эффективности масла шиповника для человека. Препарат не одобрен FDA и не включен в BNF или WHO EML, что указывает на отсутствие признанной клинической пользы и отсутствие стандартизации его применения в международной практике. Таким образом, отсутствуют какие-либо убедительные доказательства пользы или безопасности применения масла шиповника в терапевтических целях.</w:t>
      </w:r>
    </w:p>
    <w:p>
      <w:r>
        <w:rPr>
          <w:b/>
        </w:rPr>
        <w:t xml:space="preserve">Полнота описания: </w:t>
      </w:r>
      <w:r>
        <w:t>Описание препарата в клиническом протоколе неполное, поскольку отсутствуют конкретные дозировки, режимы применения и длительность лечения. При этом наименование, МНН и путь введения указаны.</w:t>
      </w:r>
    </w:p>
    <w:p>
      <w:r>
        <w:rPr>
          <w:b/>
        </w:rPr>
        <w:t xml:space="preserve">Замечания по соответствию стандартам: </w:t>
      </w:r>
      <w:r>
        <w:t>Препарат не имеет одобрения FDA, не включен в BNF и WHO EML, что свидетельствует об отсутствии его признания в качестве стандартизированного терапевтического средства в основных международных формулярах и регуляторных списках.</w:t>
      </w:r>
    </w:p>
    <w:p/>
    <w:p>
      <w:r>
        <w:rPr>
          <w:b/>
        </w:rPr>
        <w:t>Комментарии по доказательной базе:</w:t>
      </w:r>
    </w:p>
    <w:p>
      <w:r>
        <w:rPr>
          <w:b/>
        </w:rPr>
        <w:t xml:space="preserve">Оценка назначения: </w:t>
      </w:r>
      <w:r>
        <w:t>Назначение масла шиповника в клиническом протоколе является необоснованным с точки зрения доказательной медицины. Отсутствуют высококачественные клинические исследования, подтверждающие его терапевтическую эффективность и безопасность для человека при топическом применении. Найденные статьи не относятся к клиническим испытаниям на людях по терапевтическим показаниям.</w:t>
      </w:r>
    </w:p>
    <w:p>
      <w:r>
        <w:rPr>
          <w:b/>
        </w:rPr>
        <w:t xml:space="preserve">Резюме исследований: </w:t>
      </w:r>
      <w:r>
        <w:t>Поиск в PubMed выявил 5 статей, однако ни одна из них не является мета-анализом, систематическим обзором или рандомизированным контролируемым исследованием (РКИ) на людях, изучающим терапевтическую эффективность масла шиповника при топическом применении. Примеры найденных статей касаются экологической упаковки, наноструктурированных липидных носителей для других активных веществ, синергизма против вредителей растений и общих тенденций в разработке косметических продуктов. Клинические исследования на ClinicalTrials.gov не найдены.</w:t>
      </w:r>
    </w:p>
    <w:p>
      <w:r>
        <w:rPr>
          <w:b/>
        </w:rPr>
        <w:t xml:space="preserve">Качество доказательств: </w:t>
      </w:r>
      <w:r>
        <w:t>Недостаточно данных для оценки терапевтической эффективности и безопасности масла шиповника при топическом применении у людей. Качество найденных исследований является очень низким для клинических рекомендаций, поскольку отсутствуют исследования на людях по заявленным показаниям.</w:t>
      </w:r>
    </w:p>
    <w:p>
      <w:r>
        <w:rPr>
          <w:b/>
        </w:rPr>
        <w:t>Руководство по самостоятельной проверке доказательной базы:</w:t>
      </w:r>
    </w:p>
    <w:p>
      <w:r>
        <w:t>Для оценки терапевтической эффективности масла шиповника необходимо искать рандомизированные контролируемые исследования, систематические обзоры и мета-анализы на PubMed, Cochrane Library, Embase с использованием следующих запросов: 'rosehip oil topical efficacy human', 'rosehip oil clinical trial skin', 'rosehip oil systematic review dermatology'. Особое внимание следует уделять исследованиям на людях, изучающим конкретные медицинские показания.</w:t>
      </w:r>
    </w:p>
    <w:p/>
    <w:p>
      <w:r>
        <w:rPr>
          <w:b/>
        </w:rPr>
        <w:t xml:space="preserve">Резюме: </w:t>
      </w:r>
      <w:r>
        <w:t>Для масла шиповника обнаружено: мета-анализы: 0, систематические обзоры: 0, РКИ: 0, всего: 5 исследований. Уровень доказательности 'D' присвоен из-за полного отсутствия высококачественных клинических исследований на людях, подтверждающих терапевтическую эффективность и безопасность препарата при топическом применении. Найденные исследования не имеют прямого отношения к клинической практике, а регуляторный статус (отсутствие одобрений FDA, включения в BNF/WHO EML) подтверждает отсутствие признанной клинической ценности.</w:t>
      </w:r>
    </w:p>
    <w:p/>
    <w:p>
      <w:r>
        <w:rPr>
          <w:b/>
        </w:rPr>
        <w:t>Статус регистрации и одобрения:</w:t>
      </w:r>
    </w:p>
    <w:p>
      <w:r>
        <w:rPr>
          <w:b w:val="0"/>
        </w:rPr>
        <w:t xml:space="preserve">• </w:t>
      </w:r>
      <w:r>
        <w:t>• Зарегистрирован в Казахстане (Статус: Регистрация) (Перерегистрация: 6/25/2019 12:00:00 AM) (Номер: РК-ЛС-5№024185) (Форма: Субстанция)</w:t>
      </w:r>
    </w:p>
    <w:p/>
    <w:p>
      <w:r>
        <w:rPr>
          <w:b/>
        </w:rPr>
        <w:t>Исследования:</w:t>
      </w:r>
    </w:p>
    <w:p>
      <w:r>
        <w:t>Мета-анализы: 2; РКИ: 10; Всего найдено исследований: 18</w:t>
      </w:r>
    </w:p>
    <w:p/>
    <w:p>
      <w:r>
        <w:rPr>
          <w:b/>
        </w:rPr>
        <w:t>Комментарии:</w:t>
      </w:r>
    </w:p>
    <w:p>
      <w:r>
        <w:t>INN "Rosehip oil" not found in EMA database. Назначение off-label (FDA).</w:t>
      </w:r>
    </w:p>
    <w:p/>
    <w:p>
      <w:pPr>
        <w:pStyle w:val="2"/>
      </w:pPr>
      <w:r>
        <w:t>4. инозин пранобекс</w:t>
      </w:r>
    </w:p>
    <w:p>
      <w:r>
        <w:rPr>
          <w:b/>
        </w:rPr>
        <w:t xml:space="preserve">МНН (англ): </w:t>
      </w:r>
      <w:r>
        <w:t>Inosine pranobex</w:t>
      </w:r>
    </w:p>
    <w:p>
      <w:r>
        <w:rPr>
          <w:b/>
        </w:rPr>
        <w:t xml:space="preserve">МНН (рус): </w:t>
      </w:r>
      <w:r>
        <w:t>Инозин пранобекс</w:t>
      </w:r>
    </w:p>
    <w:p>
      <w:r>
        <w:rPr>
          <w:b/>
        </w:rPr>
        <w:t xml:space="preserve">Уровень доказательности (GRADE): </w:t>
      </w:r>
      <w:r>
        <w:t>D</w:t>
      </w:r>
    </w:p>
    <w:p>
      <w:r>
        <w:rPr>
          <w:b/>
        </w:rPr>
        <w:t xml:space="preserve">Обоснование: </w:t>
      </w:r>
      <w:r>
        <w:t>Уровень доказательности D (Очень низкая достоверность доказательств) присвоен в связи с полным отсутствием высококачественных клинических доказательств эффективности и безопасности инозина пранобекса для какой-либо индикации. В базе PubMed найдено всего 2 статьи, ни одна из которых не является рандомизированным контролируемым исследованием, систематическим обзором или мета-анализом. Одна статья описывает аналитический метод (неклиническое), другая – результаты in vitro исследования на клеточном уровне (также неклиническое). В ClinicalTrials.gov не найдено зарегистрированных клинических исследований. Препарат не одобрен FDA и не включен в Перечень основных лекарственных средств ВОЗ (WHO EML), что дополнительно подчеркивает отсутствие широкого международного признания его клинической значимости. Хотя препарат включен в BNF, это не компенсирует отсутствие критически важной доказательной базы для его применения у пациентов.</w:t>
      </w:r>
    </w:p>
    <w:p>
      <w:r>
        <w:rPr>
          <w:b/>
        </w:rPr>
        <w:t xml:space="preserve">Полнота описания: </w:t>
      </w:r>
      <w:r>
        <w:t>Информация о препарате в протоколе недостаточна, так как отсутствуют дозировка, путь введения, режим и длительность применения. Это критически важные данные для любого клинического протокола.</w:t>
      </w:r>
    </w:p>
    <w:p>
      <w:r>
        <w:rPr>
          <w:b/>
        </w:rPr>
        <w:t xml:space="preserve">Замечания по соответствию стандартам: </w:t>
      </w:r>
      <w:r>
        <w:t>Отсутствие ключевых параметров применения препарата (дозировка, путь введения, режим, длительность) делает невозможной адекватную оценку его соответствия стандартам безопасности и эффективности. Включение препарата в протокол без этих данных является значительным недостатком с точки зрения клинической практики и регуляторных требований.</w:t>
      </w:r>
    </w:p>
    <w:p/>
    <w:p>
      <w:r>
        <w:rPr>
          <w:b/>
        </w:rPr>
        <w:t>Комментарии по доказательной базе:</w:t>
      </w:r>
    </w:p>
    <w:p>
      <w:r>
        <w:rPr>
          <w:b/>
        </w:rPr>
        <w:t xml:space="preserve">Оценка назначения: </w:t>
      </w:r>
      <w:r>
        <w:t>Назначение инозина пранобекса в клиническом протоколе без указания конкретной индикации и при практически полном отсутствии высококачественных клинических доказательств его эффективности и безопасности у человека не соответствует принципам доказательной медицины. Имеющиеся в поиске данные крайне ограничены и не демонстрируют клиническую эффективность или безопасность для применения у людей.</w:t>
      </w:r>
    </w:p>
    <w:p>
      <w:r>
        <w:rPr>
          <w:b/>
        </w:rPr>
        <w:t xml:space="preserve">Общие замечания: </w:t>
      </w:r>
      <w:r>
        <w:t>Отсутствие одобрения FDA и включения в WHO EML, наряду с полным отсутствием клинических исследований, является значительным красным флагом для использования данного препарата. Включение в BNF само по себе не является достаточным основанием для рекомендации препарата при отсутствии доказательной базы высокого уровня.</w:t>
      </w:r>
    </w:p>
    <w:p>
      <w:r>
        <w:rPr>
          <w:b/>
        </w:rPr>
        <w:t xml:space="preserve">Резюме исследований: </w:t>
      </w:r>
      <w:r>
        <w:t>В базе PubMed найдено 2 статьи. Одна из них (PMID 34361591) описывает разработку и валидацию аналитического метода для определения метаболита препарата в свиньях, что не является клиническим исследованием эффективности или безопасности препарата у человека. Вторая статья (PMID 31434164) исследует усиление цитотоксичности естественных киллеров человека инозином пранобексом in vitro, то есть это исследование на клеточном уровне, а не клиническое испытание на людях. Отсутствуют мета-анализы, систематические обзоры и рандомизированные контролируемые исследования (РКИ) по клиническому применению инозина пранобекса.</w:t>
      </w:r>
    </w:p>
    <w:p>
      <w:r>
        <w:rPr>
          <w:b/>
        </w:rPr>
        <w:t xml:space="preserve">Качество доказательств: </w:t>
      </w:r>
      <w:r>
        <w:t>Недостаточно данных. Отсутствие мета-анализов, систематических обзоров и рандомизированных контролируемых исследований (РКИ), а также ограниченное количество найденных неклинических исследований, указывает на крайне низкое качество доказательной базы для клинического применения у человека.</w:t>
      </w:r>
    </w:p>
    <w:p>
      <w:r>
        <w:rPr>
          <w:b/>
        </w:rPr>
        <w:t>Руководство по самостоятельной проверке доказательной базы:</w:t>
      </w:r>
    </w:p>
    <w:p>
      <w:r>
        <w:t>Для самостоятельной проверки доказательной базы рекомендуется выполнить поиск по следующим запросам в PubMed, Cochrane Library, ClinicalTrials.gov: 1. "Inosine pranobex clinical trial" 2. "Inosine pranobex efficacy human" 3. "Inosine pranobex systematic review" 4. "Inosine pranobex meta-analysis". Также следует рассмотреть поиск по одобрениям регуляторных органов, таких как EMA (Европейское агентство лекарственных средств), для получения более полной картины.</w:t>
      </w:r>
    </w:p>
    <w:p/>
    <w:p>
      <w:r>
        <w:rPr>
          <w:b/>
        </w:rPr>
        <w:t xml:space="preserve">Резюме: </w:t>
      </w:r>
      <w:r>
        <w:t>По результатам поиска обнаружено: мета-анализы: 0, систематические обзоры: 0, РКИ: 0, всего: 2 исследования (неклинических). Уровень доказательности присвоен как D, поскольку отсутствуют высококачественные клинические исследования (РКИ, систематические обзоры, мета-анализы), подтверждающие эффективность и безопасность инозина пранобекса у человека для какой-либо индикации. Найденные статьи не являются клиническими испытаниями. Несмотря на включение в BNF, отсутствие одобрения FDA и WHO EML, а также критический дефицит клинических данных, не позволяет рекомендовать препарат на основе доказательной медицины.</w:t>
      </w:r>
    </w:p>
    <w:p/>
    <w:p>
      <w:r>
        <w:rPr>
          <w:b/>
        </w:rPr>
        <w:t>Статус регистрации и одобрения:</w:t>
      </w:r>
    </w:p>
    <w:p>
      <w:r>
        <w:rPr>
          <w:b w:val="0"/>
        </w:rPr>
        <w:t xml:space="preserve">• </w:t>
      </w:r>
      <w:r>
        <w:t>• Включен в BNF</w:t>
      </w:r>
    </w:p>
    <w:p>
      <w:r>
        <w:rPr>
          <w:b w:val="0"/>
        </w:rPr>
        <w:t xml:space="preserve">• </w:t>
      </w:r>
      <w:r>
        <w:t>• Зарегистрирован в Казахстане (Статус: Регистрация) (Перерегистрация: 10/22/2024 12:00:00 AM) (Номер: РК-ЛС-5№026310) (Форма: Сироп)</w:t>
      </w:r>
    </w:p>
    <w:p/>
    <w:p>
      <w:r>
        <w:rPr>
          <w:b/>
        </w:rPr>
        <w:t>Исследования:</w:t>
      </w:r>
    </w:p>
    <w:p>
      <w:r>
        <w:t>РКИ: 2; Всего найдено исследований: 3</w:t>
      </w:r>
    </w:p>
    <w:p/>
    <w:p>
      <w:r>
        <w:rPr>
          <w:b/>
        </w:rPr>
        <w:t>Комментарии:</w:t>
      </w:r>
    </w:p>
    <w:p>
      <w:r>
        <w:t>INN "Inosine pranobex" not found in EMA database. Назначение off-label (FDA).</w:t>
      </w:r>
    </w:p>
    <w:p/>
    <w:p>
      <w:pPr>
        <w:pStyle w:val="2"/>
      </w:pPr>
      <w:r>
        <w:t>5. гистидил-глицил-валил-серил-глицил-гистидил-глицил-глутаминил-гистидил-глицил-валил-гистидил-глицин</w:t>
      </w:r>
    </w:p>
    <w:p>
      <w:r>
        <w:rPr>
          <w:b/>
        </w:rPr>
        <w:t xml:space="preserve">МНН (англ): </w:t>
      </w:r>
      <w:r>
        <w:t>Histidine-Glycine-Valine-Serine-Glycine-Histidine-Glycine-Glutamine-Histidine-Glycine-Valine-Histidine-Glycine</w:t>
      </w:r>
    </w:p>
    <w:p>
      <w:r>
        <w:rPr>
          <w:b/>
        </w:rPr>
        <w:t xml:space="preserve">МНН (рус): </w:t>
      </w:r>
      <w:r>
        <w:t>гистидил-глицил-валил-серил-глицил-гистидил-глицил-глутаминил-гистидил-глицил-валил-гистидил-глицин</w:t>
      </w:r>
    </w:p>
    <w:p>
      <w:r>
        <w:rPr>
          <w:b/>
        </w:rPr>
        <w:t xml:space="preserve">Уровень доказательности (GRADE): </w:t>
      </w:r>
      <w:r>
        <w:t>D</w:t>
      </w:r>
    </w:p>
    <w:p>
      <w:r>
        <w:rPr>
          <w:b/>
        </w:rPr>
        <w:t xml:space="preserve">Обоснование: </w:t>
      </w:r>
      <w:r>
        <w:t>Уровень доказательности 'D' присвоен на основании абсолютного отсутствия какой-либо опубликованной доказательной базы. В PubMed не найдено ни одного исследования, включая мета-анализы, систематические обзоры или рандомизированные контролируемые исследования. Реестры клинических исследований (ClinicalTrials.gov) также не содержат упоминаний о данном веществе. Более того, препарат не одобрен ни одним из крупных регуляторных органов (FDA), не включен в Британский национальный формуляр (BNF) и в Перечень основных лекарственных средств ВОЗ (WHO EML). Полное отсутствие данных об эффективности, безопасности и регуляторном статусе не позволяет сделать какие-либо клинические рекомендации.</w:t>
      </w:r>
    </w:p>
    <w:p>
      <w:r>
        <w:rPr>
          <w:b/>
        </w:rPr>
        <w:t xml:space="preserve">Полнота описания: </w:t>
      </w:r>
      <w:r>
        <w:t>Описание препарата в протоколе является крайне неполным. Отсутствуют критически важные данные, такие как дозировка, путь введения, режим и длительность применения, что делает невозможным его клиническое применение без дополнительных уточнений. Приведено только наименование и МНН.</w:t>
      </w:r>
    </w:p>
    <w:p>
      <w:r>
        <w:rPr>
          <w:b/>
        </w:rPr>
        <w:t xml:space="preserve">Замечания по соответствию стандартам: </w:t>
      </w:r>
      <w:r>
        <w:t>Включение данного вещества в клинический протокол без указания дозировки, пути введения, режима и длительности, а также при полном отсутствии какой-либо доказательной базы и регуляторного одобрения, не соответствует стандартам доказательной медицины и принципам безопасного использования лекарственных средств. Это может представлять угрозу для пациентов и указывает на несоблюдение надлежащей клинической практики.</w:t>
      </w:r>
    </w:p>
    <w:p/>
    <w:p>
      <w:r>
        <w:rPr>
          <w:b/>
        </w:rPr>
        <w:t>Комментарии по доказательной базе:</w:t>
      </w:r>
    </w:p>
    <w:p>
      <w:r>
        <w:rPr>
          <w:b/>
        </w:rPr>
        <w:t xml:space="preserve">Оценка назначения: </w:t>
      </w:r>
      <w:r>
        <w:t>Назначение данного вещества не может быть оценено с точки зрения доказательной медицины, поскольку отсутствуют какие-либо клинические исследования, подтверждающие его эффективность или безопасность для любого потенциального применения. Вещество не имеет ни регуляторного одобрения, ни публикаций в авторитетных научных базах данных.</w:t>
      </w:r>
    </w:p>
    <w:p>
      <w:r>
        <w:rPr>
          <w:b/>
        </w:rPr>
        <w:t xml:space="preserve">Резюме исследований: </w:t>
      </w:r>
      <w:r>
        <w:t>Поиск по указанному наименованию и МНН не выявил ни одного исследования в PubMed, включая мета-анализы, систематические обзоры или рандомизированные контролируемые исследования (РКИ). Также не найдено зарегистрированных клинических исследований на платформе ClinicalTrials.gov. Отсутствуют какие-либо данные о регуляторном статусе или включении в авторитетные формуляры (FDA, BNF, WHO EML).</w:t>
      </w:r>
    </w:p>
    <w:p>
      <w:r>
        <w:rPr>
          <w:b/>
        </w:rPr>
        <w:t xml:space="preserve">Качество доказательств: </w:t>
      </w:r>
      <w:r>
        <w:t>Недостаточно данных</w:t>
      </w:r>
    </w:p>
    <w:p>
      <w:r>
        <w:rPr>
          <w:b/>
        </w:rPr>
        <w:t>Руководство по самостоятельной проверке доказательной базы:</w:t>
      </w:r>
    </w:p>
    <w:p>
      <w:r>
        <w:t>Для самостоятельной проверки доказательной базы рекомендуется использовать следующие поисковые запросы: в PubMed и Google Scholar: 'Histidine-Glycine-Valine-Serine-Glycine-Histidine-Glycine-Glutamine-Histidine-Glycine-Valine-Histidine-Glycine' или 'гистидил-глицил-валил-серил-глицил-гистидил-глицил-глутаминил-гистидил-глицил-валил-гистидил-глицин'. Для поиска клинических исследований: ClinicalTrials.gov с тем же полным наименованием. Проверьте также базы данных регуляторов (FDA, EMA) на предмет наличия одобрений.</w:t>
      </w:r>
    </w:p>
    <w:p/>
    <w:p>
      <w:r>
        <w:rPr>
          <w:b/>
        </w:rPr>
        <w:t xml:space="preserve">Резюме: </w:t>
      </w:r>
      <w:r>
        <w:t>На основе представленных данных не может быть дана рекомендация по применению данного вещества. Было найдено: мета-анализы: 0, систематические обзоры: 0, РКИ: 0, всего: 0 исследований. Логика присвоения уровня D основана на полном отсутствии каких-либо клинических или доклинических доказательств эффективности и безопасности. Без таких данных невозможно оценить потенциальную пользу или вред для пациентов.</w:t>
      </w:r>
    </w:p>
    <w:p/>
    <w:p>
      <w:r>
        <w:rPr>
          <w:b/>
        </w:rPr>
        <w:t>Статус регистрации и одобрения:</w:t>
      </w:r>
    </w:p>
    <w:p>
      <w:r>
        <w:rPr>
          <w:b w:val="0"/>
        </w:rPr>
        <w:t xml:space="preserve">• </w:t>
      </w:r>
      <w:r>
        <w:t>• Зарегистрирован в Казахстане (Статус: Перерегистрация) (Перерегистрация: 9/19/2019 12:00:00 AM) (Номер: РК-ЛС-5№020814) (Форма: Крем для наружного применения)</w:t>
      </w:r>
    </w:p>
    <w:p/>
    <w:p>
      <w:r>
        <w:rPr>
          <w:b/>
        </w:rPr>
        <w:t>Комментарии:</w:t>
      </w:r>
    </w:p>
    <w:p>
      <w:r>
        <w:t>INN "Histidine-Glycine-Valine-Serine-Glycine-Histidine-Glycine-Glutamine-Histidine-Glycine-Valine-Histidine-Glycine" not found in EMA database. Назначение off-label (FDA).</w:t>
      </w:r>
    </w:p>
    <w:p/>
    <w:p>
      <w:pPr>
        <w:pStyle w:val="2"/>
      </w:pPr>
      <w:r>
        <w:t>6. пенициллином</w:t>
      </w:r>
    </w:p>
    <w:p>
      <w:r>
        <w:rPr>
          <w:b/>
        </w:rPr>
        <w:t xml:space="preserve">МНН (англ): </w:t>
      </w:r>
      <w:r>
        <w:t>Penicillin</w:t>
      </w:r>
    </w:p>
    <w:p>
      <w:r>
        <w:rPr>
          <w:b/>
        </w:rPr>
        <w:t xml:space="preserve">МНН (рус): </w:t>
      </w:r>
      <w:r>
        <w:t>Пенициллин</w:t>
      </w:r>
    </w:p>
    <w:p>
      <w:r>
        <w:rPr>
          <w:b/>
        </w:rPr>
        <w:t xml:space="preserve">Уровень доказательности (GRADE): </w:t>
      </w:r>
      <w:r>
        <w:t>A</w:t>
      </w:r>
    </w:p>
    <w:p>
      <w:r>
        <w:rPr>
          <w:b/>
        </w:rPr>
        <w:t xml:space="preserve">Обоснование: </w:t>
      </w:r>
      <w:r>
        <w:t>Уровень доказательности GRADE A присвоен на основании безусловного глобального признания пенициллина как основного антибиотика широкого спектра действия. Препарат одобрен Управлением по санитарному надзору за качеством пищевых продуктов и медикаментов США (FDA), включен в Британский национальный формуляр (BNF) и входит в Перечень основных лекарственных средств Всемирной организации здравоохранения (WHO EML). Эти регуляторные статусы, отражающие десятилетия безопасного и эффективного применения, свидетельствуют о наличии обширной и высококачественной доказательной базы. Хотя в предоставленной выборке обнаружено всего 6 статей, включая 1 РКИ, отсутствие множества *современных* мета-анализов или систематических обзоров по такому старому и хорошо изученному препарату не умаляет его общей доказательной базы, которая является фундаментальной и устоявшейся в медицинском сообществе.</w:t>
      </w:r>
    </w:p>
    <w:p>
      <w:r>
        <w:rPr>
          <w:b/>
        </w:rPr>
        <w:t xml:space="preserve">Полнота описания: </w:t>
      </w:r>
      <w:r>
        <w:t>Описание препарата в протоколе неполное, отсутствуют данные о дозировке, пути введения, режиме и длительности применения.</w:t>
      </w:r>
    </w:p>
    <w:p>
      <w:r>
        <w:rPr>
          <w:b/>
        </w:rPr>
        <w:t xml:space="preserve">Замечания по соответствию стандартам: </w:t>
      </w:r>
      <w:r>
        <w:t>Отсутствие ключевых параметров применения препарата (дозировка, путь введения, режим, длительность) затрудняет оценку его соответствия стандартам клинического протокола и требует дополнительного уточнения для обеспечения полной информации.</w:t>
      </w:r>
    </w:p>
    <w:p/>
    <w:p>
      <w:r>
        <w:rPr>
          <w:b/>
        </w:rPr>
        <w:t>Комментарии по доказательной базе:</w:t>
      </w:r>
    </w:p>
    <w:p>
      <w:r>
        <w:rPr>
          <w:b/>
        </w:rPr>
        <w:t xml:space="preserve">Оценка назначения: </w:t>
      </w:r>
      <w:r>
        <w:t>Пенициллин является одним из наиболее изученных и широко применяемых антибиотиков с доказанной эффективностью против широкого спектра бактериальных инфекций. Его включение в ключевые международные списки (FDA, BNF, WHO EML) свидетельствует о высокой степени уверенности в его пользе и безопасности, основанной на десятилетиях клинического опыта и фундаментальных исследованиях, что делает его препаратом выбора для многих бактериальных инфекций.</w:t>
      </w:r>
    </w:p>
    <w:p>
      <w:r>
        <w:rPr>
          <w:b/>
        </w:rPr>
        <w:t xml:space="preserve">Резюме исследований: </w:t>
      </w:r>
      <w:r>
        <w:t>В предоставленном поиске найдено 6 статей в PubMed, из которых 1 является рандомизированным контролируемым исследованием (РКИ) по 'birid triple viable' для Helicobacter pylori (PMID: 20871168). Это РКИ, вероятно, исследует комбинацию, включающую пенициллин, для конкретной индикации. Остальные статьи представляют собой исследования по разработке лекарственных форм (PMID: 37354997, касательно бензатина пенициллина G), фармакокинетике амоксициллина на животных (PMID: 34534590), описательные исследования по инфекциям (PMID: 28260599, PMID: 26710478), а также исследования на животных (PMID: 39269671). Среди найденных исследований отсутствуют мета-анализы и систематические обзоры. Клинические исследования на ClinicalTrials.gov в предоставленном списке не обнаружены.</w:t>
      </w:r>
    </w:p>
    <w:p>
      <w:r>
        <w:rPr>
          <w:b/>
        </w:rPr>
        <w:t xml:space="preserve">Качество доказательств: </w:t>
      </w:r>
      <w:r>
        <w:t>Высокое. Несмотря на ограниченное количество *недавних* высокоуровневых исследований в предоставленном списке (1 РКИ, 0 мета-анализов/систематических обзоров из 6 статей), фундаментальный статус пенициллина как препарата с одобрением FDA, включением в BNF и WHO EML подтверждает его высокую доказательную базу, накопленную за многие десятилетия и широко признанную в клинической практике.</w:t>
      </w:r>
    </w:p>
    <w:p>
      <w:r>
        <w:rPr>
          <w:b/>
        </w:rPr>
        <w:t>Руководство по самостоятельной проверке доказательной базы:</w:t>
      </w:r>
    </w:p>
    <w:p>
      <w:r>
        <w:t>Для самостоятельной проверки доказательной базы по пенициллину рекомендуется использовать следующие запросы в PubMed или Cochrane Library: 'penicillin efficacy', 'penicillin meta-analysis', 'penicillin systematic review', 'penicillin randomized controlled trial'. Также полезно искать обзоры по конкретным нозологиям, где пенициллин является препаратом выбора, например, 'rheumatic fever prophylaxis penicillin', 'streptococcal pharyngitis penicillin'.</w:t>
      </w:r>
    </w:p>
    <w:p/>
    <w:p>
      <w:r>
        <w:rPr>
          <w:b/>
        </w:rPr>
        <w:t xml:space="preserve">Резюме: </w:t>
      </w:r>
      <w:r>
        <w:t>Рекомендуется к применению. Найдено исследований: мета-анализы: 0, систематические обзоры: 0, РКИ: 1, всего: 6. Логика присвоения уровня доказательности GRADE A основана на всемирно признанном статусе пенициллина как жизненно важного и эффективного антибиотика, что подтверждается его включением в список основных лекарственных средств ВОЗ (WHO EML), одобрением FDA и включением в BNF. Эти факторы перевешивают ограниченное количество *недавних* высокоуровневых исследований в предоставленной подборке, так как большая часть доказательной базы пенициллина является исторической и широко подтвержденной клинической практикой.</w:t>
      </w:r>
    </w:p>
    <w:p/>
    <w:p>
      <w:r>
        <w:rPr>
          <w:b/>
        </w:rPr>
        <w:t>Статус регистрации и одобрения:</w:t>
      </w:r>
    </w:p>
    <w:p>
      <w:r>
        <w:rPr>
          <w:b w:val="0"/>
        </w:rPr>
        <w:t xml:space="preserve">• </w:t>
      </w:r>
      <w:r>
        <w:t>• Включен в BNF</w:t>
      </w:r>
    </w:p>
    <w:p>
      <w:r>
        <w:rPr>
          <w:b w:val="0"/>
        </w:rPr>
        <w:t xml:space="preserve">• </w:t>
      </w:r>
      <w:r>
        <w:t>• Включен в BNF Children</w:t>
      </w:r>
    </w:p>
    <w:p>
      <w:r>
        <w:rPr>
          <w:b w:val="0"/>
        </w:rPr>
        <w:t xml:space="preserve">• </w:t>
      </w:r>
      <w:r>
        <w:t>• Включен в WHO EML</w:t>
      </w:r>
    </w:p>
    <w:p>
      <w:r>
        <w:rPr>
          <w:b w:val="0"/>
        </w:rPr>
        <w:t xml:space="preserve">• </w:t>
      </w:r>
      <w:r>
        <w:t>• Одобрен FDA</w:t>
      </w:r>
    </w:p>
    <w:p>
      <w:r>
        <w:rPr>
          <w:b w:val="0"/>
        </w:rPr>
        <w:t xml:space="preserve">• </w:t>
      </w:r>
      <w:r>
        <w:t>• Зарегистрирован в Казахстане (Статус: Перерегистрация) (Перерегистрация: 1/18/2023 12:00:00 AM) (Номер: РК-ЛС-5№004481) (Форма: Порошок для приготовления раствора для инъекций)</w:t>
      </w:r>
    </w:p>
    <w:p/>
    <w:p>
      <w:r>
        <w:rPr>
          <w:b/>
        </w:rPr>
        <w:t>Исследования:</w:t>
      </w:r>
    </w:p>
    <w:p>
      <w:r>
        <w:t>Мета-анализы: 10; РКИ: 10; Всего найдено исследований: 24</w:t>
      </w:r>
    </w:p>
    <w:p/>
    <w:p>
      <w:r>
        <w:rPr>
          <w:b/>
        </w:rPr>
        <w:t>Комментарии:</w:t>
      </w:r>
    </w:p>
    <w:p>
      <w:r>
        <w:t>INN "Penicillin" not found in EMA database</w:t>
      </w:r>
    </w:p>
    <w:p/>
    <w:p>
      <w:pPr>
        <w:pStyle w:val="2"/>
      </w:pPr>
      <w:r>
        <w:t>7. алоэ</w:t>
      </w:r>
    </w:p>
    <w:p>
      <w:r>
        <w:rPr>
          <w:b/>
        </w:rPr>
        <w:t xml:space="preserve">МНН (англ): </w:t>
      </w:r>
      <w:r>
        <w:t>Aloe</w:t>
      </w:r>
    </w:p>
    <w:p>
      <w:r>
        <w:rPr>
          <w:b/>
        </w:rPr>
        <w:t xml:space="preserve">МНН (рус): </w:t>
      </w:r>
      <w:r>
        <w:t>Алоэ</w:t>
      </w:r>
    </w:p>
    <w:p>
      <w:r>
        <w:rPr>
          <w:b/>
        </w:rPr>
        <w:t xml:space="preserve">Способ введения: </w:t>
      </w:r>
      <w:r>
        <w:t>topical</w:t>
      </w:r>
    </w:p>
    <w:p>
      <w:r>
        <w:rPr>
          <w:b/>
        </w:rPr>
        <w:t xml:space="preserve">Уровень доказательности (GRADE): </w:t>
      </w:r>
      <w:r>
        <w:t>D</w:t>
      </w:r>
    </w:p>
    <w:p>
      <w:r>
        <w:rPr>
          <w:b/>
        </w:rPr>
        <w:t xml:space="preserve">Обоснование: </w:t>
      </w:r>
      <w:r>
        <w:t>Уровень доказательности классифицирован как D (Очень низкий) из-за полного отсутствия высококачественных клинических данных. Не было выявлено мета-анализов, систематических обзоров или рандомизированных контролируемых исследований (РКИ). В PubMed найдено всего 4 статьи, которые при ближайшем рассмотрении оказались преимущественно преклиническими исследованиями, исследованиями материалов или обзорами, не предоставляющими надежных данных о клинической эффективности местного применения у людей. Кроме того, алоэ не одобрено FDA и не включено в BNF или Перечень основных лекарственных средств ВОЗ, что свидетельствует об отсутствии признания со стороны ведущих регуляторных и формулярных органов для определенных медицинских показаний. Данная совокупность факторов указывает на критическое отсутствие доказательств, подтверждающих его использование в клиническом протоколе.</w:t>
      </w:r>
    </w:p>
    <w:p>
      <w:r>
        <w:rPr>
          <w:b/>
        </w:rPr>
        <w:t xml:space="preserve">Полнота описания: </w:t>
      </w:r>
      <w:r>
        <w:t>Описание препарата в протоколе является неполным, поскольку отсутствуют конкретные данные о дозировке, режиме и длительности применения ("None"), что делает его непригодным для клинического использования без дальнейших уточнений.</w:t>
      </w:r>
    </w:p>
    <w:p>
      <w:r>
        <w:rPr>
          <w:b/>
        </w:rPr>
        <w:t xml:space="preserve">Замечания по соответствию стандартам: </w:t>
      </w:r>
      <w:r>
        <w:t>Отсутствие детализированной информации о дозировке, режиме и длительности введения делает данную запись не соответствующей стандартам клинических протоколов, которые требуют точных указаний для безопасного и эффективного применения лекарственных средств.</w:t>
      </w:r>
    </w:p>
    <w:p/>
    <w:p>
      <w:r>
        <w:rPr>
          <w:b/>
        </w:rPr>
        <w:t>Комментарии по доказательной базе:</w:t>
      </w:r>
    </w:p>
    <w:p>
      <w:r>
        <w:rPr>
          <w:b/>
        </w:rPr>
        <w:t xml:space="preserve">Оценка назначения: </w:t>
      </w:r>
      <w:r>
        <w:t>Назначение алоэ для местного применения не может быть поддержано принципами доказательной медицины из-за практически полного отсутствия высококачественных клинических доказательств. Не найдено рандомизированных контролируемых исследований (РКИ), систематических обзоров или мета-анализов, подтверждающих его эффективность и безопасность для конкретных показаний при местном применении. Найденные исследования являются преимущественно преклиническими, материаловедческими или обзорными, не дающими надежных данных о клинической эффективности.</w:t>
      </w:r>
    </w:p>
    <w:p>
      <w:r>
        <w:rPr>
          <w:b/>
        </w:rPr>
        <w:t xml:space="preserve">Резюме исследований: </w:t>
      </w:r>
      <w:r>
        <w:t>Всего найдено 4 статьи в PubMed. Среди них отсутствуют мета-анализы, систематические обзоры и рандомизированные контролируемые исследования (РКИ). Примеры найденных статей включают сравнительную оценку алоэ при подслизистом фиброзе полости рта (тип исследования не уточнен), исследования по оптимизации пленок с алоэ вера (материаловедение), обзор травяных препаратов для лечения язвенной болезни (не касается местного применения) и композитных повязок с алоэ вера (материаловедение/доставка). Таким образом, большинство найденных работ не являются клиническими исследованиями по эффективности применения алоэ местно, а одна потенциально клиническая работа не имеет указания на тип исследования (например, РКИ).</w:t>
      </w:r>
    </w:p>
    <w:p>
      <w:r>
        <w:rPr>
          <w:b/>
        </w:rPr>
        <w:t xml:space="preserve">Качество доказательств: </w:t>
      </w:r>
      <w:r>
        <w:t>Недостаточно данных. Отсутствуют высококачественные клинические исследования (РКИ, систематические обзоры, мета-анализы), которые могли бы служить надежным основанием для оценки эффективности и безопасности. Существующие статьи носят преимущественно преклинический или материаловедческий характер, либо являются обзорами, что не обеспечивает надежной доказательной базы для клинического применения.</w:t>
      </w:r>
    </w:p>
    <w:p>
      <w:r>
        <w:rPr>
          <w:b/>
        </w:rPr>
        <w:t>Руководство по самостоятельной проверке доказательной базы:</w:t>
      </w:r>
    </w:p>
    <w:p>
      <w:r>
        <w:t>Для дальнейшей проверки доказательной базы по местному применению алоэ рекомендуется использовать следующие поисковые запросы: "Aloe vera topical RCT", "Aloe vera skin systematic review", "Aloe vera wound healing clinical trial", "Aloe vera dermatitis efficacy". Поиск следует проводить в таких базах данных, как PubMed, Cochrane Library, Embase и ClinicalTrials.gov.</w:t>
      </w:r>
    </w:p>
    <w:p/>
    <w:p>
      <w:r>
        <w:rPr>
          <w:b/>
        </w:rPr>
        <w:t xml:space="preserve">Резюме: </w:t>
      </w:r>
      <w:r>
        <w:t>Для местного применения алоэ доказательная база крайне ограничена, без высококачественных клинических исследований (мета-анализы: 0, систематические обзоры: 0, РКИ: 0, всего: 4). Логика присвоения уровня GRADE D основана на полном отсутствии сильных клинических доказательств, отсутствии одобрения регуляторных органов и характере нескольких найденных исследований, которые в основном являются преклиническими или неклиническими исследованиями эффективности. Таким образом, его использование не имеет научного обоснования с позиций доказательной медицины.</w:t>
      </w:r>
    </w:p>
    <w:p/>
    <w:p>
      <w:r>
        <w:rPr>
          <w:b/>
        </w:rPr>
        <w:t>Статус регистрации и одобрения:</w:t>
      </w:r>
    </w:p>
    <w:p>
      <w:r>
        <w:rPr>
          <w:b w:val="0"/>
        </w:rPr>
        <w:t xml:space="preserve">• </w:t>
      </w:r>
      <w:r>
        <w:t>• Зарегистрирован в Казахстане (Статус: Регистрация) (Перерегистрация: 12/7/2021 12:00:00 AM) (Номер: РК-ЛС-5№025431) (Форма: Экстракт жидкий для инъекций)</w:t>
      </w:r>
    </w:p>
    <w:p/>
    <w:p>
      <w:r>
        <w:rPr>
          <w:b/>
        </w:rPr>
        <w:t>Исследования:</w:t>
      </w:r>
    </w:p>
    <w:p>
      <w:r>
        <w:t>Мета-анализы: 8; РКИ: 10; Всего найдено исследований: 29</w:t>
      </w:r>
    </w:p>
    <w:p/>
    <w:p>
      <w:r>
        <w:rPr>
          <w:b/>
        </w:rPr>
        <w:t>Комментарии:</w:t>
      </w:r>
    </w:p>
    <w:p>
      <w:r>
        <w:t>INN "Aloe" not found in EMA database. Назначение off-label (FDA).</w:t>
      </w:r>
    </w:p>
    <w:p/>
    <w:sectPr w:rsidR="00C33753" w:rsidRPr="00E61B6F" w:rsidSect="00DE7C35">
      <w:headerReference w:type="default" r:id="rId8"/>
      <w:pgSz w:w="11906" w:h="16838"/>
      <w:pgMar w:top="1134" w:right="707"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B9D80" w14:textId="77777777" w:rsidR="006B3DEE" w:rsidRDefault="006B3DEE" w:rsidP="00EB4080">
      <w:r>
        <w:separator/>
      </w:r>
    </w:p>
  </w:endnote>
  <w:endnote w:type="continuationSeparator" w:id="0">
    <w:p w14:paraId="40175E60" w14:textId="77777777" w:rsidR="006B3DEE" w:rsidRDefault="006B3DEE" w:rsidP="00EB4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Arial Nova">
    <w:altName w:val="Arial"/>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DBE75" w14:textId="77777777" w:rsidR="006B3DEE" w:rsidRDefault="006B3DEE" w:rsidP="00EB4080">
      <w:r>
        <w:separator/>
      </w:r>
    </w:p>
  </w:footnote>
  <w:footnote w:type="continuationSeparator" w:id="0">
    <w:p w14:paraId="68600BDA" w14:textId="77777777" w:rsidR="006B3DEE" w:rsidRDefault="006B3DEE" w:rsidP="00EB4080">
      <w:r>
        <w:continuationSeparator/>
      </w:r>
    </w:p>
  </w:footnote>
  <w:footnote w:id="1">
    <w:p w14:paraId="08E26164" w14:textId="77777777" w:rsidR="0085645F" w:rsidRPr="00F717C0" w:rsidRDefault="0085645F" w:rsidP="00596077">
      <w:pPr>
        <w:pStyle w:val="af1"/>
        <w:jc w:val="both"/>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3686"/>
      <w:gridCol w:w="3402"/>
      <w:gridCol w:w="1559"/>
    </w:tblGrid>
    <w:tr w:rsidR="0085645F" w:rsidRPr="007C2F59" w14:paraId="23A00FB6" w14:textId="77777777" w:rsidTr="00BF5A36">
      <w:trPr>
        <w:cantSplit/>
        <w:trHeight w:val="1008"/>
      </w:trPr>
      <w:tc>
        <w:tcPr>
          <w:tcW w:w="1276" w:type="dxa"/>
          <w:vAlign w:val="center"/>
        </w:tcPr>
        <w:p w14:paraId="157F7545" w14:textId="77777777" w:rsidR="0085645F" w:rsidRPr="007C2F59" w:rsidRDefault="00E07573" w:rsidP="00327BB5">
          <w:pPr>
            <w:tabs>
              <w:tab w:val="center" w:pos="4677"/>
              <w:tab w:val="right" w:pos="9355"/>
            </w:tabs>
            <w:jc w:val="center"/>
            <w:rPr>
              <w:i/>
              <w:sz w:val="18"/>
              <w:szCs w:val="18"/>
            </w:rPr>
          </w:pPr>
          <w:r>
            <w:rPr>
              <w:noProof/>
              <w:lang w:val="en-US" w:eastAsia="en-US"/>
            </w:rPr>
            <w:drawing>
              <wp:inline distT="0" distB="0" distL="0" distR="0" wp14:anchorId="5DEAEBFD" wp14:editId="186C2C0B">
                <wp:extent cx="2336800" cy="647700"/>
                <wp:effectExtent l="0" t="0" r="0" b="0"/>
                <wp:docPr id="1" name="Рисунок 5" descr="logo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logor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6800" cy="647700"/>
                        </a:xfrm>
                        <a:prstGeom prst="rect">
                          <a:avLst/>
                        </a:prstGeom>
                        <a:noFill/>
                        <a:ln>
                          <a:noFill/>
                        </a:ln>
                      </pic:spPr>
                    </pic:pic>
                  </a:graphicData>
                </a:graphic>
              </wp:inline>
            </w:drawing>
          </w:r>
        </w:p>
      </w:tc>
      <w:tc>
        <w:tcPr>
          <w:tcW w:w="8647" w:type="dxa"/>
          <w:gridSpan w:val="3"/>
          <w:vAlign w:val="center"/>
        </w:tcPr>
        <w:p w14:paraId="55C2A46B" w14:textId="77777777" w:rsidR="0085645F" w:rsidRPr="007C2F59" w:rsidRDefault="0085645F" w:rsidP="00327BB5">
          <w:pPr>
            <w:tabs>
              <w:tab w:val="center" w:pos="4677"/>
              <w:tab w:val="right" w:pos="9355"/>
            </w:tabs>
            <w:jc w:val="center"/>
            <w:rPr>
              <w:b/>
              <w:i/>
              <w:sz w:val="18"/>
              <w:szCs w:val="18"/>
            </w:rPr>
          </w:pPr>
          <w:r>
            <w:rPr>
              <w:b/>
              <w:i/>
              <w:sz w:val="18"/>
              <w:szCs w:val="18"/>
            </w:rPr>
            <w:t xml:space="preserve">РГП на ПХВ </w:t>
          </w:r>
          <w:r w:rsidRPr="00DE33F8">
            <w:rPr>
              <w:b/>
              <w:i/>
              <w:sz w:val="18"/>
              <w:szCs w:val="18"/>
            </w:rPr>
            <w:t xml:space="preserve">«Национальный научный центр развития здравоохранения имени </w:t>
          </w:r>
          <w:proofErr w:type="spellStart"/>
          <w:r w:rsidRPr="00DE33F8">
            <w:rPr>
              <w:b/>
              <w:i/>
              <w:sz w:val="18"/>
              <w:szCs w:val="18"/>
            </w:rPr>
            <w:t>Салидат</w:t>
          </w:r>
          <w:proofErr w:type="spellEnd"/>
          <w:r w:rsidRPr="00DE33F8">
            <w:rPr>
              <w:b/>
              <w:i/>
              <w:sz w:val="18"/>
              <w:szCs w:val="18"/>
            </w:rPr>
            <w:t xml:space="preserve"> </w:t>
          </w:r>
          <w:proofErr w:type="spellStart"/>
          <w:r w:rsidRPr="00DE33F8">
            <w:rPr>
              <w:b/>
              <w:i/>
              <w:sz w:val="18"/>
              <w:szCs w:val="18"/>
            </w:rPr>
            <w:t>Каирбековой</w:t>
          </w:r>
          <w:proofErr w:type="spellEnd"/>
          <w:r w:rsidRPr="00DE33F8">
            <w:rPr>
              <w:b/>
              <w:i/>
              <w:sz w:val="18"/>
              <w:szCs w:val="18"/>
            </w:rPr>
            <w:t>»</w:t>
          </w:r>
          <w:r w:rsidRPr="007C2F59">
            <w:rPr>
              <w:b/>
              <w:i/>
              <w:sz w:val="18"/>
              <w:szCs w:val="18"/>
            </w:rPr>
            <w:t xml:space="preserve"> </w:t>
          </w:r>
        </w:p>
        <w:p w14:paraId="272A7A3C" w14:textId="77777777" w:rsidR="0085645F" w:rsidRPr="007C2F59" w:rsidRDefault="0085645F" w:rsidP="00327BB5">
          <w:pPr>
            <w:tabs>
              <w:tab w:val="center" w:pos="4677"/>
              <w:tab w:val="right" w:pos="9355"/>
            </w:tabs>
            <w:jc w:val="center"/>
            <w:rPr>
              <w:b/>
              <w:i/>
              <w:sz w:val="18"/>
              <w:szCs w:val="18"/>
            </w:rPr>
          </w:pPr>
          <w:r w:rsidRPr="007C2F59">
            <w:rPr>
              <w:b/>
              <w:i/>
              <w:sz w:val="18"/>
              <w:szCs w:val="18"/>
            </w:rPr>
            <w:t>Министерства здравоохранения Республики Казахстан</w:t>
          </w:r>
        </w:p>
      </w:tc>
    </w:tr>
    <w:tr w:rsidR="0085645F" w:rsidRPr="007C2F59" w14:paraId="41C476AF" w14:textId="77777777" w:rsidTr="00BF5A36">
      <w:trPr>
        <w:cantSplit/>
        <w:trHeight w:val="283"/>
      </w:trPr>
      <w:tc>
        <w:tcPr>
          <w:tcW w:w="9923" w:type="dxa"/>
          <w:gridSpan w:val="4"/>
          <w:vAlign w:val="center"/>
        </w:tcPr>
        <w:p w14:paraId="4E8790A2" w14:textId="77777777" w:rsidR="0085645F" w:rsidRPr="0050241B" w:rsidRDefault="0085645F" w:rsidP="00C17B81">
          <w:pPr>
            <w:ind w:right="142"/>
            <w:jc w:val="center"/>
            <w:rPr>
              <w:b/>
              <w:i/>
              <w:sz w:val="18"/>
              <w:szCs w:val="18"/>
            </w:rPr>
          </w:pPr>
          <w:r w:rsidRPr="00563DCB">
            <w:rPr>
              <w:b/>
              <w:bCs/>
              <w:i/>
              <w:sz w:val="20"/>
              <w:szCs w:val="18"/>
            </w:rPr>
            <w:t xml:space="preserve">Департамент рациональной клинической </w:t>
          </w:r>
          <w:proofErr w:type="spellStart"/>
          <w:r w:rsidRPr="00563DCB">
            <w:rPr>
              <w:b/>
              <w:bCs/>
              <w:i/>
              <w:sz w:val="20"/>
              <w:szCs w:val="18"/>
            </w:rPr>
            <w:t>пракики</w:t>
          </w:r>
          <w:proofErr w:type="spellEnd"/>
        </w:p>
      </w:tc>
    </w:tr>
    <w:tr w:rsidR="0085645F" w:rsidRPr="007C2F59" w14:paraId="73EED3B8" w14:textId="77777777" w:rsidTr="00BF5A36">
      <w:trPr>
        <w:cantSplit/>
        <w:trHeight w:val="232"/>
      </w:trPr>
      <w:tc>
        <w:tcPr>
          <w:tcW w:w="4962" w:type="dxa"/>
          <w:gridSpan w:val="2"/>
          <w:vMerge w:val="restart"/>
          <w:vAlign w:val="center"/>
        </w:tcPr>
        <w:p w14:paraId="2909FDA1" w14:textId="77777777" w:rsidR="0085645F" w:rsidRPr="0050241B" w:rsidRDefault="0085645F" w:rsidP="00C17B81">
          <w:pPr>
            <w:ind w:right="142"/>
            <w:jc w:val="center"/>
            <w:rPr>
              <w:b/>
              <w:i/>
              <w:sz w:val="18"/>
              <w:szCs w:val="18"/>
            </w:rPr>
          </w:pPr>
          <w:r w:rsidRPr="00563DCB">
            <w:rPr>
              <w:b/>
              <w:bCs/>
              <w:i/>
              <w:sz w:val="20"/>
              <w:szCs w:val="18"/>
            </w:rPr>
            <w:t xml:space="preserve">Управление экспертизы </w:t>
          </w:r>
          <w:r w:rsidRPr="00BB570C">
            <w:rPr>
              <w:b/>
              <w:bCs/>
              <w:i/>
              <w:sz w:val="20"/>
              <w:szCs w:val="18"/>
            </w:rPr>
            <w:t xml:space="preserve">и мониторинга </w:t>
          </w:r>
          <w:r w:rsidRPr="00563DCB">
            <w:rPr>
              <w:b/>
              <w:bCs/>
              <w:i/>
              <w:sz w:val="20"/>
              <w:szCs w:val="18"/>
            </w:rPr>
            <w:t xml:space="preserve">клинических протоколов </w:t>
          </w:r>
        </w:p>
      </w:tc>
      <w:tc>
        <w:tcPr>
          <w:tcW w:w="3402" w:type="dxa"/>
          <w:vAlign w:val="center"/>
        </w:tcPr>
        <w:p w14:paraId="7F53CC19" w14:textId="77777777" w:rsidR="0085645F" w:rsidRPr="007C2F59" w:rsidRDefault="0085645F" w:rsidP="00327BB5">
          <w:pPr>
            <w:tabs>
              <w:tab w:val="center" w:pos="4677"/>
              <w:tab w:val="right" w:pos="9355"/>
            </w:tabs>
            <w:jc w:val="center"/>
            <w:rPr>
              <w:i/>
              <w:sz w:val="18"/>
              <w:szCs w:val="18"/>
            </w:rPr>
          </w:pPr>
          <w:r w:rsidRPr="007C2F59">
            <w:rPr>
              <w:i/>
              <w:sz w:val="18"/>
              <w:szCs w:val="18"/>
            </w:rPr>
            <w:t>Дата экспертизы</w:t>
          </w:r>
        </w:p>
      </w:tc>
      <w:tc>
        <w:tcPr>
          <w:tcW w:w="1559" w:type="dxa"/>
          <w:vAlign w:val="center"/>
        </w:tcPr>
        <w:p w14:paraId="4CC9C747" w14:textId="77777777" w:rsidR="0085645F" w:rsidRPr="007C2F59" w:rsidRDefault="0085645F" w:rsidP="00327BB5">
          <w:pPr>
            <w:tabs>
              <w:tab w:val="center" w:pos="4677"/>
              <w:tab w:val="right" w:pos="9355"/>
            </w:tabs>
            <w:jc w:val="center"/>
            <w:rPr>
              <w:i/>
              <w:sz w:val="18"/>
              <w:szCs w:val="18"/>
            </w:rPr>
          </w:pPr>
          <w:r w:rsidRPr="007C2F59">
            <w:rPr>
              <w:i/>
              <w:sz w:val="18"/>
              <w:szCs w:val="18"/>
            </w:rPr>
            <w:t>Страница</w:t>
          </w:r>
        </w:p>
      </w:tc>
    </w:tr>
    <w:tr w:rsidR="0085645F" w:rsidRPr="007C2F59" w14:paraId="1FC89F5A" w14:textId="77777777" w:rsidTr="00BF5A36">
      <w:trPr>
        <w:cantSplit/>
        <w:trHeight w:val="135"/>
      </w:trPr>
      <w:tc>
        <w:tcPr>
          <w:tcW w:w="4962" w:type="dxa"/>
          <w:gridSpan w:val="2"/>
          <w:vMerge/>
          <w:vAlign w:val="center"/>
        </w:tcPr>
        <w:p w14:paraId="2C3D2D62" w14:textId="77777777" w:rsidR="0085645F" w:rsidRPr="007C2F59" w:rsidRDefault="0085645F" w:rsidP="00327BB5">
          <w:pPr>
            <w:tabs>
              <w:tab w:val="center" w:pos="4677"/>
              <w:tab w:val="right" w:pos="9355"/>
            </w:tabs>
            <w:jc w:val="center"/>
            <w:rPr>
              <w:b/>
              <w:i/>
              <w:sz w:val="18"/>
              <w:szCs w:val="18"/>
            </w:rPr>
          </w:pPr>
        </w:p>
      </w:tc>
      <w:tc>
        <w:tcPr>
          <w:tcW w:w="3402" w:type="dxa"/>
          <w:vAlign w:val="center"/>
        </w:tcPr>
        <w:p w14:paraId="4202E60A" w14:textId="77777777" w:rsidR="0085645F" w:rsidRPr="007C2F59" w:rsidRDefault="00E61B6F" w:rsidP="00855B1D">
          <w:pPr>
            <w:tabs>
              <w:tab w:val="center" w:pos="4677"/>
              <w:tab w:val="right" w:pos="9355"/>
            </w:tabs>
            <w:jc w:val="center"/>
            <w:rPr>
              <w:b/>
              <w:i/>
              <w:sz w:val="18"/>
              <w:szCs w:val="18"/>
            </w:rPr>
          </w:pPr>
          <w:r>
            <w:rPr>
              <w:b/>
              <w:i/>
              <w:sz w:val="18"/>
              <w:szCs w:val="18"/>
            </w:rPr>
            <w:t>ДД</w:t>
          </w:r>
          <w:r w:rsidR="0085645F">
            <w:rPr>
              <w:b/>
              <w:i/>
              <w:sz w:val="18"/>
              <w:szCs w:val="18"/>
              <w:lang w:val="en-US"/>
            </w:rPr>
            <w:t>.</w:t>
          </w:r>
          <w:r>
            <w:rPr>
              <w:b/>
              <w:i/>
              <w:sz w:val="18"/>
              <w:szCs w:val="18"/>
            </w:rPr>
            <w:t>ММ</w:t>
          </w:r>
          <w:r w:rsidR="0085645F" w:rsidRPr="007C2F59">
            <w:rPr>
              <w:b/>
              <w:i/>
              <w:sz w:val="18"/>
              <w:szCs w:val="18"/>
            </w:rPr>
            <w:t>.202</w:t>
          </w:r>
          <w:r w:rsidR="0085645F">
            <w:rPr>
              <w:b/>
              <w:i/>
              <w:sz w:val="18"/>
              <w:szCs w:val="18"/>
            </w:rPr>
            <w:t>5</w:t>
          </w:r>
          <w:r w:rsidR="0085645F" w:rsidRPr="007C2F59">
            <w:rPr>
              <w:b/>
              <w:i/>
              <w:sz w:val="18"/>
              <w:szCs w:val="18"/>
            </w:rPr>
            <w:t xml:space="preserve"> год </w:t>
          </w:r>
        </w:p>
      </w:tc>
      <w:tc>
        <w:tcPr>
          <w:tcW w:w="1559" w:type="dxa"/>
          <w:vAlign w:val="center"/>
        </w:tcPr>
        <w:p w14:paraId="043FD485" w14:textId="77777777" w:rsidR="0085645F" w:rsidRPr="007C2F59" w:rsidRDefault="0085645F" w:rsidP="00327BB5">
          <w:pPr>
            <w:tabs>
              <w:tab w:val="center" w:pos="4677"/>
              <w:tab w:val="right" w:pos="9355"/>
            </w:tabs>
            <w:jc w:val="center"/>
            <w:rPr>
              <w:b/>
              <w:i/>
              <w:sz w:val="18"/>
              <w:szCs w:val="18"/>
            </w:rPr>
          </w:pPr>
          <w:r w:rsidRPr="007C2F59">
            <w:rPr>
              <w:b/>
              <w:i/>
              <w:sz w:val="18"/>
              <w:szCs w:val="18"/>
            </w:rPr>
            <w:fldChar w:fldCharType="begin"/>
          </w:r>
          <w:r w:rsidRPr="007C2F59">
            <w:rPr>
              <w:b/>
              <w:i/>
              <w:sz w:val="18"/>
              <w:szCs w:val="18"/>
            </w:rPr>
            <w:instrText xml:space="preserve"> PAGE </w:instrText>
          </w:r>
          <w:r w:rsidRPr="007C2F59">
            <w:rPr>
              <w:b/>
              <w:i/>
              <w:sz w:val="18"/>
              <w:szCs w:val="18"/>
            </w:rPr>
            <w:fldChar w:fldCharType="separate"/>
          </w:r>
          <w:r w:rsidR="00E61B6F">
            <w:rPr>
              <w:b/>
              <w:i/>
              <w:noProof/>
              <w:sz w:val="18"/>
              <w:szCs w:val="18"/>
            </w:rPr>
            <w:t>1</w:t>
          </w:r>
          <w:r w:rsidRPr="007C2F59">
            <w:rPr>
              <w:b/>
              <w:i/>
              <w:sz w:val="18"/>
              <w:szCs w:val="18"/>
            </w:rPr>
            <w:fldChar w:fldCharType="end"/>
          </w:r>
          <w:r w:rsidRPr="007C2F59">
            <w:rPr>
              <w:b/>
              <w:i/>
              <w:snapToGrid w:val="0"/>
              <w:sz w:val="18"/>
              <w:szCs w:val="18"/>
            </w:rPr>
            <w:t xml:space="preserve"> из </w:t>
          </w:r>
          <w:r w:rsidRPr="007C2F59">
            <w:rPr>
              <w:b/>
              <w:i/>
              <w:sz w:val="18"/>
              <w:szCs w:val="18"/>
            </w:rPr>
            <w:fldChar w:fldCharType="begin"/>
          </w:r>
          <w:r w:rsidRPr="007C2F59">
            <w:rPr>
              <w:b/>
              <w:i/>
              <w:sz w:val="18"/>
              <w:szCs w:val="18"/>
            </w:rPr>
            <w:instrText xml:space="preserve"> NUMPAGES </w:instrText>
          </w:r>
          <w:r w:rsidRPr="007C2F59">
            <w:rPr>
              <w:b/>
              <w:i/>
              <w:sz w:val="18"/>
              <w:szCs w:val="18"/>
            </w:rPr>
            <w:fldChar w:fldCharType="separate"/>
          </w:r>
          <w:r w:rsidR="00E61B6F">
            <w:rPr>
              <w:b/>
              <w:i/>
              <w:noProof/>
              <w:sz w:val="18"/>
              <w:szCs w:val="18"/>
            </w:rPr>
            <w:t>5</w:t>
          </w:r>
          <w:r w:rsidRPr="007C2F59">
            <w:rPr>
              <w:b/>
              <w:i/>
              <w:sz w:val="18"/>
              <w:szCs w:val="18"/>
            </w:rPr>
            <w:fldChar w:fldCharType="end"/>
          </w:r>
        </w:p>
      </w:tc>
    </w:tr>
    <w:tr w:rsidR="0085645F" w:rsidRPr="007C2F59" w14:paraId="0A9305AB" w14:textId="77777777" w:rsidTr="00BF5A36">
      <w:trPr>
        <w:cantSplit/>
        <w:trHeight w:val="163"/>
      </w:trPr>
      <w:tc>
        <w:tcPr>
          <w:tcW w:w="9923" w:type="dxa"/>
          <w:gridSpan w:val="4"/>
          <w:vAlign w:val="center"/>
        </w:tcPr>
        <w:p w14:paraId="6E95F98A" w14:textId="77777777" w:rsidR="0085645F" w:rsidRPr="007C2F59" w:rsidRDefault="0085645F" w:rsidP="00327BB5">
          <w:pPr>
            <w:tabs>
              <w:tab w:val="center" w:pos="4677"/>
              <w:tab w:val="right" w:pos="9355"/>
            </w:tabs>
            <w:jc w:val="center"/>
            <w:rPr>
              <w:b/>
              <w:i/>
              <w:sz w:val="18"/>
              <w:szCs w:val="18"/>
            </w:rPr>
          </w:pPr>
          <w:r w:rsidRPr="007C2F59">
            <w:rPr>
              <w:b/>
              <w:i/>
              <w:sz w:val="18"/>
              <w:szCs w:val="18"/>
            </w:rPr>
            <w:t>ЭКСПЕРТИЗА КЛИНИЧЕСКОГО ПРОТОКОЛА</w:t>
          </w:r>
        </w:p>
      </w:tc>
    </w:tr>
  </w:tbl>
  <w:p w14:paraId="454D1F34" w14:textId="77777777" w:rsidR="0085645F" w:rsidRDefault="0085645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812"/>
    <w:multiLevelType w:val="multilevel"/>
    <w:tmpl w:val="B518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B1834"/>
    <w:multiLevelType w:val="multilevel"/>
    <w:tmpl w:val="7E10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A5BD8"/>
    <w:multiLevelType w:val="multilevel"/>
    <w:tmpl w:val="51D0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0194C"/>
    <w:multiLevelType w:val="multilevel"/>
    <w:tmpl w:val="7AD0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3799B"/>
    <w:multiLevelType w:val="multilevel"/>
    <w:tmpl w:val="FD8E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534F1"/>
    <w:multiLevelType w:val="multilevel"/>
    <w:tmpl w:val="78F0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63132"/>
    <w:multiLevelType w:val="multilevel"/>
    <w:tmpl w:val="35F8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37FF3"/>
    <w:multiLevelType w:val="multilevel"/>
    <w:tmpl w:val="C576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62C83"/>
    <w:multiLevelType w:val="hybridMultilevel"/>
    <w:tmpl w:val="C5F4B0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CC63E8D"/>
    <w:multiLevelType w:val="hybridMultilevel"/>
    <w:tmpl w:val="2BB065E6"/>
    <w:lvl w:ilvl="0" w:tplc="04190001">
      <w:start w:val="1"/>
      <w:numFmt w:val="bullet"/>
      <w:lvlText w:val=""/>
      <w:lvlJc w:val="left"/>
      <w:pPr>
        <w:ind w:left="720" w:hanging="360"/>
      </w:pPr>
      <w:rPr>
        <w:rFonts w:ascii="Symbol" w:hAnsi="Symbol" w:hint="default"/>
      </w:rPr>
    </w:lvl>
    <w:lvl w:ilvl="1" w:tplc="ADC4C16C">
      <w:numFmt w:val="bullet"/>
      <w:lvlText w:val="•"/>
      <w:lvlJc w:val="left"/>
      <w:pPr>
        <w:ind w:left="1700" w:hanging="620"/>
      </w:pPr>
      <w:rPr>
        <w:rFonts w:ascii="Times New Roman" w:eastAsia="Times New Roman"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0816772"/>
    <w:multiLevelType w:val="multilevel"/>
    <w:tmpl w:val="A0F8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972D04"/>
    <w:multiLevelType w:val="multilevel"/>
    <w:tmpl w:val="3998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44A79"/>
    <w:multiLevelType w:val="multilevel"/>
    <w:tmpl w:val="A2B8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412F8"/>
    <w:multiLevelType w:val="hybridMultilevel"/>
    <w:tmpl w:val="F0B87A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4857858"/>
    <w:multiLevelType w:val="multilevel"/>
    <w:tmpl w:val="47D4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B5633"/>
    <w:multiLevelType w:val="multilevel"/>
    <w:tmpl w:val="7B2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00EA7"/>
    <w:multiLevelType w:val="multilevel"/>
    <w:tmpl w:val="877A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0F09F2"/>
    <w:multiLevelType w:val="multilevel"/>
    <w:tmpl w:val="9404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F4667E"/>
    <w:multiLevelType w:val="multilevel"/>
    <w:tmpl w:val="6906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0224CE"/>
    <w:multiLevelType w:val="multilevel"/>
    <w:tmpl w:val="60BA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E8725A"/>
    <w:multiLevelType w:val="multilevel"/>
    <w:tmpl w:val="6930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B665C8"/>
    <w:multiLevelType w:val="multilevel"/>
    <w:tmpl w:val="CF26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B977E2"/>
    <w:multiLevelType w:val="multilevel"/>
    <w:tmpl w:val="BB82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5D4195"/>
    <w:multiLevelType w:val="multilevel"/>
    <w:tmpl w:val="846C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73C7B"/>
    <w:multiLevelType w:val="multilevel"/>
    <w:tmpl w:val="15EA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7F09BD"/>
    <w:multiLevelType w:val="multilevel"/>
    <w:tmpl w:val="9CA4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A665CE"/>
    <w:multiLevelType w:val="multilevel"/>
    <w:tmpl w:val="C268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AE24B6"/>
    <w:multiLevelType w:val="multilevel"/>
    <w:tmpl w:val="110A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660CB1"/>
    <w:multiLevelType w:val="multilevel"/>
    <w:tmpl w:val="13E6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BF7E3C"/>
    <w:multiLevelType w:val="multilevel"/>
    <w:tmpl w:val="2242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E85E1F"/>
    <w:multiLevelType w:val="hybridMultilevel"/>
    <w:tmpl w:val="3446C714"/>
    <w:lvl w:ilvl="0" w:tplc="04190001">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32314940"/>
    <w:multiLevelType w:val="hybridMultilevel"/>
    <w:tmpl w:val="D65E73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32786C01"/>
    <w:multiLevelType w:val="multilevel"/>
    <w:tmpl w:val="72DA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75259D"/>
    <w:multiLevelType w:val="multilevel"/>
    <w:tmpl w:val="527A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DC0A5A"/>
    <w:multiLevelType w:val="hybridMultilevel"/>
    <w:tmpl w:val="1B4466D0"/>
    <w:lvl w:ilvl="0" w:tplc="A6A69AAA">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3ADA791C"/>
    <w:multiLevelType w:val="multilevel"/>
    <w:tmpl w:val="D30E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9032A9"/>
    <w:multiLevelType w:val="multilevel"/>
    <w:tmpl w:val="8016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68641E"/>
    <w:multiLevelType w:val="multilevel"/>
    <w:tmpl w:val="30C0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0277D1"/>
    <w:multiLevelType w:val="multilevel"/>
    <w:tmpl w:val="D83E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117275"/>
    <w:multiLevelType w:val="multilevel"/>
    <w:tmpl w:val="64CA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1500CF"/>
    <w:multiLevelType w:val="multilevel"/>
    <w:tmpl w:val="70A6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1A4B57"/>
    <w:multiLevelType w:val="hybridMultilevel"/>
    <w:tmpl w:val="7B200F36"/>
    <w:lvl w:ilvl="0" w:tplc="00DA037E">
      <w:start w:val="1"/>
      <w:numFmt w:val="upperRoman"/>
      <w:lvlText w:val="%1."/>
      <w:lvlJc w:val="left"/>
      <w:pPr>
        <w:ind w:left="775" w:hanging="720"/>
      </w:pPr>
      <w:rPr>
        <w:rFonts w:hint="default"/>
      </w:rPr>
    </w:lvl>
    <w:lvl w:ilvl="1" w:tplc="04190019" w:tentative="1">
      <w:start w:val="1"/>
      <w:numFmt w:val="lowerLetter"/>
      <w:lvlText w:val="%2."/>
      <w:lvlJc w:val="left"/>
      <w:pPr>
        <w:ind w:left="1135" w:hanging="360"/>
      </w:pPr>
    </w:lvl>
    <w:lvl w:ilvl="2" w:tplc="0419001B" w:tentative="1">
      <w:start w:val="1"/>
      <w:numFmt w:val="lowerRoman"/>
      <w:lvlText w:val="%3."/>
      <w:lvlJc w:val="right"/>
      <w:pPr>
        <w:ind w:left="1855" w:hanging="180"/>
      </w:pPr>
    </w:lvl>
    <w:lvl w:ilvl="3" w:tplc="0419000F" w:tentative="1">
      <w:start w:val="1"/>
      <w:numFmt w:val="decimal"/>
      <w:lvlText w:val="%4."/>
      <w:lvlJc w:val="left"/>
      <w:pPr>
        <w:ind w:left="2575" w:hanging="360"/>
      </w:pPr>
    </w:lvl>
    <w:lvl w:ilvl="4" w:tplc="04190019" w:tentative="1">
      <w:start w:val="1"/>
      <w:numFmt w:val="lowerLetter"/>
      <w:lvlText w:val="%5."/>
      <w:lvlJc w:val="left"/>
      <w:pPr>
        <w:ind w:left="3295" w:hanging="360"/>
      </w:pPr>
    </w:lvl>
    <w:lvl w:ilvl="5" w:tplc="0419001B" w:tentative="1">
      <w:start w:val="1"/>
      <w:numFmt w:val="lowerRoman"/>
      <w:lvlText w:val="%6."/>
      <w:lvlJc w:val="right"/>
      <w:pPr>
        <w:ind w:left="4015" w:hanging="180"/>
      </w:pPr>
    </w:lvl>
    <w:lvl w:ilvl="6" w:tplc="0419000F" w:tentative="1">
      <w:start w:val="1"/>
      <w:numFmt w:val="decimal"/>
      <w:lvlText w:val="%7."/>
      <w:lvlJc w:val="left"/>
      <w:pPr>
        <w:ind w:left="4735" w:hanging="360"/>
      </w:pPr>
    </w:lvl>
    <w:lvl w:ilvl="7" w:tplc="04190019" w:tentative="1">
      <w:start w:val="1"/>
      <w:numFmt w:val="lowerLetter"/>
      <w:lvlText w:val="%8."/>
      <w:lvlJc w:val="left"/>
      <w:pPr>
        <w:ind w:left="5455" w:hanging="360"/>
      </w:pPr>
    </w:lvl>
    <w:lvl w:ilvl="8" w:tplc="0419001B" w:tentative="1">
      <w:start w:val="1"/>
      <w:numFmt w:val="lowerRoman"/>
      <w:lvlText w:val="%9."/>
      <w:lvlJc w:val="right"/>
      <w:pPr>
        <w:ind w:left="6175" w:hanging="180"/>
      </w:pPr>
    </w:lvl>
  </w:abstractNum>
  <w:abstractNum w:abstractNumId="42" w15:restartNumberingAfterBreak="0">
    <w:nsid w:val="466C66C1"/>
    <w:multiLevelType w:val="multilevel"/>
    <w:tmpl w:val="7C16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124DF6"/>
    <w:multiLevelType w:val="multilevel"/>
    <w:tmpl w:val="1BB2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4D6CB6"/>
    <w:multiLevelType w:val="multilevel"/>
    <w:tmpl w:val="AA00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731B49"/>
    <w:multiLevelType w:val="multilevel"/>
    <w:tmpl w:val="C60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8C7855"/>
    <w:multiLevelType w:val="multilevel"/>
    <w:tmpl w:val="3E48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F92352"/>
    <w:multiLevelType w:val="multilevel"/>
    <w:tmpl w:val="880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8648F9"/>
    <w:multiLevelType w:val="multilevel"/>
    <w:tmpl w:val="7058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390E20"/>
    <w:multiLevelType w:val="multilevel"/>
    <w:tmpl w:val="4CBA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677FDF"/>
    <w:multiLevelType w:val="multilevel"/>
    <w:tmpl w:val="B050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913977"/>
    <w:multiLevelType w:val="multilevel"/>
    <w:tmpl w:val="8F7C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C6123A"/>
    <w:multiLevelType w:val="multilevel"/>
    <w:tmpl w:val="E2B8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963448"/>
    <w:multiLevelType w:val="multilevel"/>
    <w:tmpl w:val="C7BC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EA047A"/>
    <w:multiLevelType w:val="multilevel"/>
    <w:tmpl w:val="B436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D1615B"/>
    <w:multiLevelType w:val="multilevel"/>
    <w:tmpl w:val="6226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3E2BA3"/>
    <w:multiLevelType w:val="multilevel"/>
    <w:tmpl w:val="7136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A74D2D"/>
    <w:multiLevelType w:val="multilevel"/>
    <w:tmpl w:val="EA6E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F12B6C"/>
    <w:multiLevelType w:val="multilevel"/>
    <w:tmpl w:val="1DE2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52022D"/>
    <w:multiLevelType w:val="multilevel"/>
    <w:tmpl w:val="2AEA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8D67DB"/>
    <w:multiLevelType w:val="multilevel"/>
    <w:tmpl w:val="2B84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D81E44"/>
    <w:multiLevelType w:val="multilevel"/>
    <w:tmpl w:val="A892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F4518E"/>
    <w:multiLevelType w:val="hybridMultilevel"/>
    <w:tmpl w:val="E58E04AC"/>
    <w:lvl w:ilvl="0" w:tplc="0419000F">
      <w:start w:val="1"/>
      <w:numFmt w:val="decimal"/>
      <w:lvlText w:val="%1."/>
      <w:lvlJc w:val="left"/>
      <w:pPr>
        <w:ind w:left="75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643165CB"/>
    <w:multiLevelType w:val="hybridMultilevel"/>
    <w:tmpl w:val="F6A6C81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4" w15:restartNumberingAfterBreak="0">
    <w:nsid w:val="65012778"/>
    <w:multiLevelType w:val="multilevel"/>
    <w:tmpl w:val="9C7E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5E22E2"/>
    <w:multiLevelType w:val="multilevel"/>
    <w:tmpl w:val="E750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451A9C"/>
    <w:multiLevelType w:val="multilevel"/>
    <w:tmpl w:val="EE24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9E232D"/>
    <w:multiLevelType w:val="multilevel"/>
    <w:tmpl w:val="4736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FD03BB"/>
    <w:multiLevelType w:val="multilevel"/>
    <w:tmpl w:val="8632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183D6D"/>
    <w:multiLevelType w:val="multilevel"/>
    <w:tmpl w:val="92B4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C47F86"/>
    <w:multiLevelType w:val="multilevel"/>
    <w:tmpl w:val="1F8E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42684D"/>
    <w:multiLevelType w:val="multilevel"/>
    <w:tmpl w:val="4AEC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159523">
    <w:abstractNumId w:val="41"/>
  </w:num>
  <w:num w:numId="2" w16cid:durableId="1461999341">
    <w:abstractNumId w:val="64"/>
  </w:num>
  <w:num w:numId="3" w16cid:durableId="851334296">
    <w:abstractNumId w:val="45"/>
  </w:num>
  <w:num w:numId="4" w16cid:durableId="721949622">
    <w:abstractNumId w:val="10"/>
  </w:num>
  <w:num w:numId="5" w16cid:durableId="1099718249">
    <w:abstractNumId w:val="63"/>
  </w:num>
  <w:num w:numId="6" w16cid:durableId="1288778195">
    <w:abstractNumId w:val="31"/>
  </w:num>
  <w:num w:numId="7" w16cid:durableId="2051302040">
    <w:abstractNumId w:val="18"/>
  </w:num>
  <w:num w:numId="8" w16cid:durableId="995375849">
    <w:abstractNumId w:val="28"/>
  </w:num>
  <w:num w:numId="9" w16cid:durableId="2034382269">
    <w:abstractNumId w:val="48"/>
  </w:num>
  <w:num w:numId="10" w16cid:durableId="880554917">
    <w:abstractNumId w:val="24"/>
  </w:num>
  <w:num w:numId="11" w16cid:durableId="257561115">
    <w:abstractNumId w:val="61"/>
  </w:num>
  <w:num w:numId="12" w16cid:durableId="300699452">
    <w:abstractNumId w:val="66"/>
  </w:num>
  <w:num w:numId="13" w16cid:durableId="742261488">
    <w:abstractNumId w:val="71"/>
  </w:num>
  <w:num w:numId="14" w16cid:durableId="95492244">
    <w:abstractNumId w:val="32"/>
  </w:num>
  <w:num w:numId="15" w16cid:durableId="598485513">
    <w:abstractNumId w:val="15"/>
  </w:num>
  <w:num w:numId="16" w16cid:durableId="783113941">
    <w:abstractNumId w:val="19"/>
  </w:num>
  <w:num w:numId="17" w16cid:durableId="1364206977">
    <w:abstractNumId w:val="50"/>
  </w:num>
  <w:num w:numId="18" w16cid:durableId="1360933084">
    <w:abstractNumId w:val="7"/>
  </w:num>
  <w:num w:numId="19" w16cid:durableId="319624171">
    <w:abstractNumId w:val="3"/>
  </w:num>
  <w:num w:numId="20" w16cid:durableId="251743453">
    <w:abstractNumId w:val="49"/>
  </w:num>
  <w:num w:numId="21" w16cid:durableId="952857538">
    <w:abstractNumId w:val="35"/>
  </w:num>
  <w:num w:numId="22" w16cid:durableId="828211023">
    <w:abstractNumId w:val="47"/>
  </w:num>
  <w:num w:numId="23" w16cid:durableId="2086805171">
    <w:abstractNumId w:val="6"/>
  </w:num>
  <w:num w:numId="24" w16cid:durableId="1333798086">
    <w:abstractNumId w:val="14"/>
  </w:num>
  <w:num w:numId="25" w16cid:durableId="375157306">
    <w:abstractNumId w:val="69"/>
  </w:num>
  <w:num w:numId="26" w16cid:durableId="1893686875">
    <w:abstractNumId w:val="52"/>
  </w:num>
  <w:num w:numId="27" w16cid:durableId="1028145991">
    <w:abstractNumId w:val="23"/>
  </w:num>
  <w:num w:numId="28" w16cid:durableId="1032412857">
    <w:abstractNumId w:val="29"/>
  </w:num>
  <w:num w:numId="29" w16cid:durableId="316425549">
    <w:abstractNumId w:val="26"/>
  </w:num>
  <w:num w:numId="30" w16cid:durableId="673344322">
    <w:abstractNumId w:val="37"/>
  </w:num>
  <w:num w:numId="31" w16cid:durableId="843664941">
    <w:abstractNumId w:val="2"/>
  </w:num>
  <w:num w:numId="32" w16cid:durableId="908079970">
    <w:abstractNumId w:val="40"/>
  </w:num>
  <w:num w:numId="33" w16cid:durableId="403530379">
    <w:abstractNumId w:val="8"/>
  </w:num>
  <w:num w:numId="34" w16cid:durableId="351299958">
    <w:abstractNumId w:val="0"/>
  </w:num>
  <w:num w:numId="35" w16cid:durableId="1112749239">
    <w:abstractNumId w:val="25"/>
  </w:num>
  <w:num w:numId="36" w16cid:durableId="1036584972">
    <w:abstractNumId w:val="33"/>
  </w:num>
  <w:num w:numId="37" w16cid:durableId="1210722022">
    <w:abstractNumId w:val="54"/>
  </w:num>
  <w:num w:numId="38" w16cid:durableId="940916945">
    <w:abstractNumId w:val="68"/>
  </w:num>
  <w:num w:numId="39" w16cid:durableId="1027097857">
    <w:abstractNumId w:val="58"/>
  </w:num>
  <w:num w:numId="40" w16cid:durableId="872577456">
    <w:abstractNumId w:val="53"/>
  </w:num>
  <w:num w:numId="41" w16cid:durableId="1579094685">
    <w:abstractNumId w:val="56"/>
  </w:num>
  <w:num w:numId="42" w16cid:durableId="1304584156">
    <w:abstractNumId w:val="57"/>
  </w:num>
  <w:num w:numId="43" w16cid:durableId="64038500">
    <w:abstractNumId w:val="42"/>
  </w:num>
  <w:num w:numId="44" w16cid:durableId="1785074327">
    <w:abstractNumId w:val="21"/>
  </w:num>
  <w:num w:numId="45" w16cid:durableId="42562908">
    <w:abstractNumId w:val="46"/>
  </w:num>
  <w:num w:numId="46" w16cid:durableId="704447415">
    <w:abstractNumId w:val="16"/>
  </w:num>
  <w:num w:numId="47" w16cid:durableId="1829588592">
    <w:abstractNumId w:val="36"/>
  </w:num>
  <w:num w:numId="48" w16cid:durableId="319311394">
    <w:abstractNumId w:val="39"/>
  </w:num>
  <w:num w:numId="49" w16cid:durableId="1335493505">
    <w:abstractNumId w:val="70"/>
  </w:num>
  <w:num w:numId="50" w16cid:durableId="164833010">
    <w:abstractNumId w:val="51"/>
  </w:num>
  <w:num w:numId="51" w16cid:durableId="147209685">
    <w:abstractNumId w:val="13"/>
  </w:num>
  <w:num w:numId="52" w16cid:durableId="1133987511">
    <w:abstractNumId w:val="22"/>
  </w:num>
  <w:num w:numId="53" w16cid:durableId="1821652278">
    <w:abstractNumId w:val="62"/>
  </w:num>
  <w:num w:numId="54" w16cid:durableId="1144853519">
    <w:abstractNumId w:val="55"/>
  </w:num>
  <w:num w:numId="55" w16cid:durableId="1108433614">
    <w:abstractNumId w:val="43"/>
  </w:num>
  <w:num w:numId="56" w16cid:durableId="213783624">
    <w:abstractNumId w:val="59"/>
  </w:num>
  <w:num w:numId="57" w16cid:durableId="1577518970">
    <w:abstractNumId w:val="38"/>
  </w:num>
  <w:num w:numId="58" w16cid:durableId="1955480481">
    <w:abstractNumId w:val="1"/>
  </w:num>
  <w:num w:numId="59" w16cid:durableId="205946279">
    <w:abstractNumId w:val="20"/>
  </w:num>
  <w:num w:numId="60" w16cid:durableId="550270137">
    <w:abstractNumId w:val="65"/>
  </w:num>
  <w:num w:numId="61" w16cid:durableId="2021353204">
    <w:abstractNumId w:val="67"/>
  </w:num>
  <w:num w:numId="62" w16cid:durableId="888760256">
    <w:abstractNumId w:val="4"/>
  </w:num>
  <w:num w:numId="63" w16cid:durableId="1508981045">
    <w:abstractNumId w:val="5"/>
  </w:num>
  <w:num w:numId="64" w16cid:durableId="1841577325">
    <w:abstractNumId w:val="60"/>
  </w:num>
  <w:num w:numId="65" w16cid:durableId="1339694539">
    <w:abstractNumId w:val="34"/>
  </w:num>
  <w:num w:numId="66" w16cid:durableId="1738551961">
    <w:abstractNumId w:val="11"/>
  </w:num>
  <w:num w:numId="67" w16cid:durableId="1834680792">
    <w:abstractNumId w:val="9"/>
  </w:num>
  <w:num w:numId="68" w16cid:durableId="486361719">
    <w:abstractNumId w:val="30"/>
  </w:num>
  <w:num w:numId="69" w16cid:durableId="371197568">
    <w:abstractNumId w:val="44"/>
  </w:num>
  <w:num w:numId="70" w16cid:durableId="2111267569">
    <w:abstractNumId w:val="27"/>
  </w:num>
  <w:num w:numId="71" w16cid:durableId="1741557513">
    <w:abstractNumId w:val="17"/>
  </w:num>
  <w:num w:numId="72" w16cid:durableId="650407198">
    <w:abstractNumId w:val="12"/>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080"/>
    <w:rsid w:val="00000A03"/>
    <w:rsid w:val="00006F06"/>
    <w:rsid w:val="000108AA"/>
    <w:rsid w:val="00010CEF"/>
    <w:rsid w:val="000124AC"/>
    <w:rsid w:val="000133C9"/>
    <w:rsid w:val="00016503"/>
    <w:rsid w:val="0001683B"/>
    <w:rsid w:val="00017965"/>
    <w:rsid w:val="000204A1"/>
    <w:rsid w:val="000220FD"/>
    <w:rsid w:val="00024CB9"/>
    <w:rsid w:val="0002598A"/>
    <w:rsid w:val="00025DD7"/>
    <w:rsid w:val="00032AE8"/>
    <w:rsid w:val="00033085"/>
    <w:rsid w:val="00035A16"/>
    <w:rsid w:val="00043B5F"/>
    <w:rsid w:val="00043E19"/>
    <w:rsid w:val="0004427D"/>
    <w:rsid w:val="000455CE"/>
    <w:rsid w:val="00045625"/>
    <w:rsid w:val="00046F9A"/>
    <w:rsid w:val="00047034"/>
    <w:rsid w:val="00047904"/>
    <w:rsid w:val="00050125"/>
    <w:rsid w:val="00050C37"/>
    <w:rsid w:val="0005325F"/>
    <w:rsid w:val="00055B87"/>
    <w:rsid w:val="000563EF"/>
    <w:rsid w:val="000566A1"/>
    <w:rsid w:val="00056C97"/>
    <w:rsid w:val="0006118F"/>
    <w:rsid w:val="00062CCE"/>
    <w:rsid w:val="000646D9"/>
    <w:rsid w:val="0006628A"/>
    <w:rsid w:val="00066DB0"/>
    <w:rsid w:val="000674EF"/>
    <w:rsid w:val="0006766E"/>
    <w:rsid w:val="00067F11"/>
    <w:rsid w:val="00067FD4"/>
    <w:rsid w:val="00071FFE"/>
    <w:rsid w:val="00072F51"/>
    <w:rsid w:val="00073063"/>
    <w:rsid w:val="00073C2C"/>
    <w:rsid w:val="00074CDC"/>
    <w:rsid w:val="00081CBC"/>
    <w:rsid w:val="0008415E"/>
    <w:rsid w:val="00084B4C"/>
    <w:rsid w:val="00084BE3"/>
    <w:rsid w:val="00084EC6"/>
    <w:rsid w:val="000855E5"/>
    <w:rsid w:val="000862BD"/>
    <w:rsid w:val="00086563"/>
    <w:rsid w:val="00087736"/>
    <w:rsid w:val="000918A1"/>
    <w:rsid w:val="0009213A"/>
    <w:rsid w:val="0009367D"/>
    <w:rsid w:val="00093D96"/>
    <w:rsid w:val="000947EA"/>
    <w:rsid w:val="000950EF"/>
    <w:rsid w:val="00096201"/>
    <w:rsid w:val="00096776"/>
    <w:rsid w:val="000A12DB"/>
    <w:rsid w:val="000A384F"/>
    <w:rsid w:val="000A38A6"/>
    <w:rsid w:val="000A40F7"/>
    <w:rsid w:val="000A5D9D"/>
    <w:rsid w:val="000B0116"/>
    <w:rsid w:val="000B1B66"/>
    <w:rsid w:val="000B2ED5"/>
    <w:rsid w:val="000B3EF0"/>
    <w:rsid w:val="000C011F"/>
    <w:rsid w:val="000C3978"/>
    <w:rsid w:val="000C4609"/>
    <w:rsid w:val="000C4807"/>
    <w:rsid w:val="000C51D5"/>
    <w:rsid w:val="000C691B"/>
    <w:rsid w:val="000D1C2D"/>
    <w:rsid w:val="000D2942"/>
    <w:rsid w:val="000D2B20"/>
    <w:rsid w:val="000D428B"/>
    <w:rsid w:val="000D6EB4"/>
    <w:rsid w:val="000D7DAB"/>
    <w:rsid w:val="000E0D4E"/>
    <w:rsid w:val="000E17CA"/>
    <w:rsid w:val="000E1FDA"/>
    <w:rsid w:val="000E226F"/>
    <w:rsid w:val="000E57C2"/>
    <w:rsid w:val="000E72DC"/>
    <w:rsid w:val="000E7665"/>
    <w:rsid w:val="000E777A"/>
    <w:rsid w:val="000F0FCE"/>
    <w:rsid w:val="000F2C43"/>
    <w:rsid w:val="000F3690"/>
    <w:rsid w:val="000F4216"/>
    <w:rsid w:val="000F5832"/>
    <w:rsid w:val="00103228"/>
    <w:rsid w:val="00105281"/>
    <w:rsid w:val="00106C83"/>
    <w:rsid w:val="001074C3"/>
    <w:rsid w:val="00110E63"/>
    <w:rsid w:val="001134DD"/>
    <w:rsid w:val="00114837"/>
    <w:rsid w:val="00115C02"/>
    <w:rsid w:val="00116B22"/>
    <w:rsid w:val="00121642"/>
    <w:rsid w:val="00125B19"/>
    <w:rsid w:val="001269B5"/>
    <w:rsid w:val="00127060"/>
    <w:rsid w:val="00127E4F"/>
    <w:rsid w:val="00130531"/>
    <w:rsid w:val="00130D7B"/>
    <w:rsid w:val="00130DD7"/>
    <w:rsid w:val="00132ED6"/>
    <w:rsid w:val="00132F97"/>
    <w:rsid w:val="001341CD"/>
    <w:rsid w:val="00134373"/>
    <w:rsid w:val="00136D5A"/>
    <w:rsid w:val="001400B2"/>
    <w:rsid w:val="00142376"/>
    <w:rsid w:val="001423C2"/>
    <w:rsid w:val="001427B9"/>
    <w:rsid w:val="001432AA"/>
    <w:rsid w:val="0014338E"/>
    <w:rsid w:val="0014587F"/>
    <w:rsid w:val="001458D8"/>
    <w:rsid w:val="00146C5D"/>
    <w:rsid w:val="0014711D"/>
    <w:rsid w:val="00151645"/>
    <w:rsid w:val="001601F6"/>
    <w:rsid w:val="00160DEB"/>
    <w:rsid w:val="00162E31"/>
    <w:rsid w:val="0016353E"/>
    <w:rsid w:val="00166585"/>
    <w:rsid w:val="00166991"/>
    <w:rsid w:val="00167AC4"/>
    <w:rsid w:val="00170E0E"/>
    <w:rsid w:val="001728A2"/>
    <w:rsid w:val="001728A9"/>
    <w:rsid w:val="00172976"/>
    <w:rsid w:val="0017342D"/>
    <w:rsid w:val="00175572"/>
    <w:rsid w:val="001755FB"/>
    <w:rsid w:val="001759D2"/>
    <w:rsid w:val="00176BF9"/>
    <w:rsid w:val="00177FAC"/>
    <w:rsid w:val="00180331"/>
    <w:rsid w:val="001835BF"/>
    <w:rsid w:val="00185893"/>
    <w:rsid w:val="00186B5D"/>
    <w:rsid w:val="0018758C"/>
    <w:rsid w:val="00187A53"/>
    <w:rsid w:val="00191792"/>
    <w:rsid w:val="001928EA"/>
    <w:rsid w:val="00194180"/>
    <w:rsid w:val="00194360"/>
    <w:rsid w:val="001947B8"/>
    <w:rsid w:val="00195D1C"/>
    <w:rsid w:val="001A0535"/>
    <w:rsid w:val="001A0EC2"/>
    <w:rsid w:val="001A3850"/>
    <w:rsid w:val="001A5231"/>
    <w:rsid w:val="001B0C13"/>
    <w:rsid w:val="001B12F8"/>
    <w:rsid w:val="001B137C"/>
    <w:rsid w:val="001B1EA0"/>
    <w:rsid w:val="001B559F"/>
    <w:rsid w:val="001B742C"/>
    <w:rsid w:val="001B7806"/>
    <w:rsid w:val="001C10D1"/>
    <w:rsid w:val="001C6470"/>
    <w:rsid w:val="001D0F64"/>
    <w:rsid w:val="001D3004"/>
    <w:rsid w:val="001D30BC"/>
    <w:rsid w:val="001D34CF"/>
    <w:rsid w:val="001D708A"/>
    <w:rsid w:val="001D79C5"/>
    <w:rsid w:val="001D7CA6"/>
    <w:rsid w:val="001D7D6A"/>
    <w:rsid w:val="001E0A69"/>
    <w:rsid w:val="001E0CB7"/>
    <w:rsid w:val="001E1603"/>
    <w:rsid w:val="001E3ABC"/>
    <w:rsid w:val="001E57E6"/>
    <w:rsid w:val="001E5924"/>
    <w:rsid w:val="001E5B52"/>
    <w:rsid w:val="001E682F"/>
    <w:rsid w:val="001E738F"/>
    <w:rsid w:val="001F2061"/>
    <w:rsid w:val="001F25FA"/>
    <w:rsid w:val="001F313E"/>
    <w:rsid w:val="001F4ED7"/>
    <w:rsid w:val="001F6218"/>
    <w:rsid w:val="001F623F"/>
    <w:rsid w:val="002041CF"/>
    <w:rsid w:val="0020421A"/>
    <w:rsid w:val="0020503A"/>
    <w:rsid w:val="002050C6"/>
    <w:rsid w:val="00205EB4"/>
    <w:rsid w:val="00206CC1"/>
    <w:rsid w:val="00213384"/>
    <w:rsid w:val="002136CB"/>
    <w:rsid w:val="00214A60"/>
    <w:rsid w:val="00214C6D"/>
    <w:rsid w:val="00215043"/>
    <w:rsid w:val="002151BB"/>
    <w:rsid w:val="002160FF"/>
    <w:rsid w:val="00216AAC"/>
    <w:rsid w:val="0022273C"/>
    <w:rsid w:val="002245BF"/>
    <w:rsid w:val="0022642C"/>
    <w:rsid w:val="00226D9B"/>
    <w:rsid w:val="00227DC0"/>
    <w:rsid w:val="00230772"/>
    <w:rsid w:val="00231E39"/>
    <w:rsid w:val="00232F70"/>
    <w:rsid w:val="002363BF"/>
    <w:rsid w:val="002377E1"/>
    <w:rsid w:val="002406B3"/>
    <w:rsid w:val="00240EDE"/>
    <w:rsid w:val="00240FFA"/>
    <w:rsid w:val="00241820"/>
    <w:rsid w:val="00241C3B"/>
    <w:rsid w:val="0024431D"/>
    <w:rsid w:val="00244ECD"/>
    <w:rsid w:val="002468C8"/>
    <w:rsid w:val="00246DC3"/>
    <w:rsid w:val="002513CE"/>
    <w:rsid w:val="002525CC"/>
    <w:rsid w:val="0025433E"/>
    <w:rsid w:val="00255540"/>
    <w:rsid w:val="0025579F"/>
    <w:rsid w:val="00261430"/>
    <w:rsid w:val="0026305A"/>
    <w:rsid w:val="0026589F"/>
    <w:rsid w:val="002710EC"/>
    <w:rsid w:val="002724B7"/>
    <w:rsid w:val="0027319A"/>
    <w:rsid w:val="00274151"/>
    <w:rsid w:val="00275EDA"/>
    <w:rsid w:val="002802F9"/>
    <w:rsid w:val="00281919"/>
    <w:rsid w:val="00281D7A"/>
    <w:rsid w:val="00283177"/>
    <w:rsid w:val="002840E7"/>
    <w:rsid w:val="00286D3A"/>
    <w:rsid w:val="00286EBE"/>
    <w:rsid w:val="002870B2"/>
    <w:rsid w:val="00287EAF"/>
    <w:rsid w:val="002902AB"/>
    <w:rsid w:val="00290B2D"/>
    <w:rsid w:val="00290D0C"/>
    <w:rsid w:val="0029154A"/>
    <w:rsid w:val="002930A4"/>
    <w:rsid w:val="00293CDC"/>
    <w:rsid w:val="002940D8"/>
    <w:rsid w:val="00294A71"/>
    <w:rsid w:val="00295585"/>
    <w:rsid w:val="00296980"/>
    <w:rsid w:val="002A065D"/>
    <w:rsid w:val="002A0BB1"/>
    <w:rsid w:val="002A519E"/>
    <w:rsid w:val="002A529A"/>
    <w:rsid w:val="002A6B28"/>
    <w:rsid w:val="002B1B5E"/>
    <w:rsid w:val="002B3B99"/>
    <w:rsid w:val="002B5C07"/>
    <w:rsid w:val="002B79B1"/>
    <w:rsid w:val="002C0C0E"/>
    <w:rsid w:val="002C207B"/>
    <w:rsid w:val="002C2757"/>
    <w:rsid w:val="002C4DB9"/>
    <w:rsid w:val="002C7204"/>
    <w:rsid w:val="002D00CF"/>
    <w:rsid w:val="002D0F5A"/>
    <w:rsid w:val="002D1359"/>
    <w:rsid w:val="002D190D"/>
    <w:rsid w:val="002D2845"/>
    <w:rsid w:val="002D2F77"/>
    <w:rsid w:val="002D310D"/>
    <w:rsid w:val="002D49D8"/>
    <w:rsid w:val="002D6321"/>
    <w:rsid w:val="002D6498"/>
    <w:rsid w:val="002D7DCA"/>
    <w:rsid w:val="002E0DB8"/>
    <w:rsid w:val="002E1B55"/>
    <w:rsid w:val="002E346E"/>
    <w:rsid w:val="002E3D94"/>
    <w:rsid w:val="002E4A9F"/>
    <w:rsid w:val="002E5A87"/>
    <w:rsid w:val="002E5CCB"/>
    <w:rsid w:val="002E5DED"/>
    <w:rsid w:val="002E5FC1"/>
    <w:rsid w:val="002E7B8D"/>
    <w:rsid w:val="002F2BDF"/>
    <w:rsid w:val="002F3A14"/>
    <w:rsid w:val="002F414D"/>
    <w:rsid w:val="002F4B91"/>
    <w:rsid w:val="002F63E6"/>
    <w:rsid w:val="002F72E6"/>
    <w:rsid w:val="0030191A"/>
    <w:rsid w:val="003028A0"/>
    <w:rsid w:val="00303946"/>
    <w:rsid w:val="00303BBA"/>
    <w:rsid w:val="00304CE3"/>
    <w:rsid w:val="00306F86"/>
    <w:rsid w:val="0031024F"/>
    <w:rsid w:val="003118DA"/>
    <w:rsid w:val="003123D9"/>
    <w:rsid w:val="00312F6D"/>
    <w:rsid w:val="00313FEB"/>
    <w:rsid w:val="003141B1"/>
    <w:rsid w:val="00314EDC"/>
    <w:rsid w:val="00315088"/>
    <w:rsid w:val="00316A27"/>
    <w:rsid w:val="003201E4"/>
    <w:rsid w:val="003210A7"/>
    <w:rsid w:val="0032136A"/>
    <w:rsid w:val="00321A72"/>
    <w:rsid w:val="00321F84"/>
    <w:rsid w:val="00322F93"/>
    <w:rsid w:val="00327BB5"/>
    <w:rsid w:val="003319B2"/>
    <w:rsid w:val="00334A24"/>
    <w:rsid w:val="00335657"/>
    <w:rsid w:val="003361C7"/>
    <w:rsid w:val="0033682F"/>
    <w:rsid w:val="003402C5"/>
    <w:rsid w:val="00340CC0"/>
    <w:rsid w:val="00343BAE"/>
    <w:rsid w:val="00343C1F"/>
    <w:rsid w:val="00344F88"/>
    <w:rsid w:val="00345257"/>
    <w:rsid w:val="00346D8A"/>
    <w:rsid w:val="00347689"/>
    <w:rsid w:val="00354EBA"/>
    <w:rsid w:val="00357F13"/>
    <w:rsid w:val="00361039"/>
    <w:rsid w:val="0036253F"/>
    <w:rsid w:val="00364401"/>
    <w:rsid w:val="0036757E"/>
    <w:rsid w:val="00370655"/>
    <w:rsid w:val="0037065A"/>
    <w:rsid w:val="00377258"/>
    <w:rsid w:val="0037764E"/>
    <w:rsid w:val="003826EA"/>
    <w:rsid w:val="00382DDB"/>
    <w:rsid w:val="00384402"/>
    <w:rsid w:val="0038479F"/>
    <w:rsid w:val="00385242"/>
    <w:rsid w:val="00385280"/>
    <w:rsid w:val="003856E5"/>
    <w:rsid w:val="00386B26"/>
    <w:rsid w:val="00392491"/>
    <w:rsid w:val="00392E93"/>
    <w:rsid w:val="003930A4"/>
    <w:rsid w:val="00393614"/>
    <w:rsid w:val="00394E79"/>
    <w:rsid w:val="00395233"/>
    <w:rsid w:val="00396443"/>
    <w:rsid w:val="003A072D"/>
    <w:rsid w:val="003A4324"/>
    <w:rsid w:val="003A46D2"/>
    <w:rsid w:val="003A4E43"/>
    <w:rsid w:val="003A5E83"/>
    <w:rsid w:val="003A6BA9"/>
    <w:rsid w:val="003A7F7A"/>
    <w:rsid w:val="003B1F2B"/>
    <w:rsid w:val="003B7CD8"/>
    <w:rsid w:val="003C0B26"/>
    <w:rsid w:val="003C1C5E"/>
    <w:rsid w:val="003C5065"/>
    <w:rsid w:val="003C50C3"/>
    <w:rsid w:val="003C5FA9"/>
    <w:rsid w:val="003D0335"/>
    <w:rsid w:val="003D04E9"/>
    <w:rsid w:val="003D07A3"/>
    <w:rsid w:val="003D0FC9"/>
    <w:rsid w:val="003D1CBC"/>
    <w:rsid w:val="003D2366"/>
    <w:rsid w:val="003D2CC6"/>
    <w:rsid w:val="003D3977"/>
    <w:rsid w:val="003D43F6"/>
    <w:rsid w:val="003D6754"/>
    <w:rsid w:val="003D7CFC"/>
    <w:rsid w:val="003E0F9D"/>
    <w:rsid w:val="003E109A"/>
    <w:rsid w:val="003E1C3E"/>
    <w:rsid w:val="003E38B7"/>
    <w:rsid w:val="003E4030"/>
    <w:rsid w:val="003E5619"/>
    <w:rsid w:val="003E6ACD"/>
    <w:rsid w:val="003F156E"/>
    <w:rsid w:val="003F1781"/>
    <w:rsid w:val="003F4FA4"/>
    <w:rsid w:val="003F5444"/>
    <w:rsid w:val="003F6479"/>
    <w:rsid w:val="003F6EA9"/>
    <w:rsid w:val="00400F20"/>
    <w:rsid w:val="00401FD0"/>
    <w:rsid w:val="0040303A"/>
    <w:rsid w:val="00404D08"/>
    <w:rsid w:val="004076CA"/>
    <w:rsid w:val="00407D10"/>
    <w:rsid w:val="00410B62"/>
    <w:rsid w:val="0041114F"/>
    <w:rsid w:val="0041174A"/>
    <w:rsid w:val="004118C1"/>
    <w:rsid w:val="00411E61"/>
    <w:rsid w:val="00412E4C"/>
    <w:rsid w:val="00413601"/>
    <w:rsid w:val="00413D65"/>
    <w:rsid w:val="00420259"/>
    <w:rsid w:val="0042173D"/>
    <w:rsid w:val="00421DCD"/>
    <w:rsid w:val="004242C4"/>
    <w:rsid w:val="00426340"/>
    <w:rsid w:val="00426E2D"/>
    <w:rsid w:val="00434291"/>
    <w:rsid w:val="0043565C"/>
    <w:rsid w:val="0043785D"/>
    <w:rsid w:val="00440A77"/>
    <w:rsid w:val="0044275D"/>
    <w:rsid w:val="00442961"/>
    <w:rsid w:val="0044522C"/>
    <w:rsid w:val="00450430"/>
    <w:rsid w:val="00450EAE"/>
    <w:rsid w:val="00453110"/>
    <w:rsid w:val="00455F47"/>
    <w:rsid w:val="00460155"/>
    <w:rsid w:val="004616D6"/>
    <w:rsid w:val="00461963"/>
    <w:rsid w:val="00463A8C"/>
    <w:rsid w:val="00464991"/>
    <w:rsid w:val="00465F8B"/>
    <w:rsid w:val="0046600C"/>
    <w:rsid w:val="00470D77"/>
    <w:rsid w:val="004745D6"/>
    <w:rsid w:val="0048192B"/>
    <w:rsid w:val="00484730"/>
    <w:rsid w:val="00485978"/>
    <w:rsid w:val="004866A1"/>
    <w:rsid w:val="0048698D"/>
    <w:rsid w:val="0048716E"/>
    <w:rsid w:val="00491579"/>
    <w:rsid w:val="00491986"/>
    <w:rsid w:val="00491F97"/>
    <w:rsid w:val="00494C79"/>
    <w:rsid w:val="00495192"/>
    <w:rsid w:val="00495B32"/>
    <w:rsid w:val="004A5C8A"/>
    <w:rsid w:val="004A6994"/>
    <w:rsid w:val="004A7A05"/>
    <w:rsid w:val="004B0CB5"/>
    <w:rsid w:val="004B12A0"/>
    <w:rsid w:val="004B2719"/>
    <w:rsid w:val="004B38D3"/>
    <w:rsid w:val="004B3BDD"/>
    <w:rsid w:val="004B64E1"/>
    <w:rsid w:val="004C1D1B"/>
    <w:rsid w:val="004C1D51"/>
    <w:rsid w:val="004C2404"/>
    <w:rsid w:val="004C2D3D"/>
    <w:rsid w:val="004C4811"/>
    <w:rsid w:val="004C4E03"/>
    <w:rsid w:val="004C6CAD"/>
    <w:rsid w:val="004C71EB"/>
    <w:rsid w:val="004D18C3"/>
    <w:rsid w:val="004D23C5"/>
    <w:rsid w:val="004D4340"/>
    <w:rsid w:val="004D48A5"/>
    <w:rsid w:val="004D60EE"/>
    <w:rsid w:val="004E0C07"/>
    <w:rsid w:val="004E0D0E"/>
    <w:rsid w:val="004E20FF"/>
    <w:rsid w:val="004E225A"/>
    <w:rsid w:val="004E2B5D"/>
    <w:rsid w:val="004E2E9E"/>
    <w:rsid w:val="004E4374"/>
    <w:rsid w:val="004E4780"/>
    <w:rsid w:val="004E7CC9"/>
    <w:rsid w:val="004F0D54"/>
    <w:rsid w:val="004F17BF"/>
    <w:rsid w:val="004F18E5"/>
    <w:rsid w:val="004F2534"/>
    <w:rsid w:val="004F3E89"/>
    <w:rsid w:val="004F4317"/>
    <w:rsid w:val="004F5252"/>
    <w:rsid w:val="004F634D"/>
    <w:rsid w:val="00501775"/>
    <w:rsid w:val="00504658"/>
    <w:rsid w:val="0050473A"/>
    <w:rsid w:val="00511184"/>
    <w:rsid w:val="00514034"/>
    <w:rsid w:val="00515A9E"/>
    <w:rsid w:val="00515D13"/>
    <w:rsid w:val="005208ED"/>
    <w:rsid w:val="00524DA8"/>
    <w:rsid w:val="00525019"/>
    <w:rsid w:val="005258F4"/>
    <w:rsid w:val="00525D7B"/>
    <w:rsid w:val="00530C58"/>
    <w:rsid w:val="00531197"/>
    <w:rsid w:val="005342BD"/>
    <w:rsid w:val="005342DB"/>
    <w:rsid w:val="005343E0"/>
    <w:rsid w:val="0053453A"/>
    <w:rsid w:val="00537943"/>
    <w:rsid w:val="00541297"/>
    <w:rsid w:val="00544F03"/>
    <w:rsid w:val="005462E4"/>
    <w:rsid w:val="00546580"/>
    <w:rsid w:val="00546CF3"/>
    <w:rsid w:val="00552614"/>
    <w:rsid w:val="00552B2F"/>
    <w:rsid w:val="00552DB7"/>
    <w:rsid w:val="00553627"/>
    <w:rsid w:val="00554615"/>
    <w:rsid w:val="00555B8D"/>
    <w:rsid w:val="00555DED"/>
    <w:rsid w:val="005564D9"/>
    <w:rsid w:val="00556E15"/>
    <w:rsid w:val="005624AC"/>
    <w:rsid w:val="00564642"/>
    <w:rsid w:val="00565322"/>
    <w:rsid w:val="0056563B"/>
    <w:rsid w:val="00565E5F"/>
    <w:rsid w:val="00573C8B"/>
    <w:rsid w:val="00573EA1"/>
    <w:rsid w:val="00577A6B"/>
    <w:rsid w:val="0058084D"/>
    <w:rsid w:val="0058144C"/>
    <w:rsid w:val="00583662"/>
    <w:rsid w:val="0058426C"/>
    <w:rsid w:val="00587214"/>
    <w:rsid w:val="00587957"/>
    <w:rsid w:val="00590A1F"/>
    <w:rsid w:val="005913F1"/>
    <w:rsid w:val="00591680"/>
    <w:rsid w:val="00591B8B"/>
    <w:rsid w:val="00592A84"/>
    <w:rsid w:val="00596077"/>
    <w:rsid w:val="00596BD8"/>
    <w:rsid w:val="00596D13"/>
    <w:rsid w:val="005A0A02"/>
    <w:rsid w:val="005A5CF2"/>
    <w:rsid w:val="005A6449"/>
    <w:rsid w:val="005A7529"/>
    <w:rsid w:val="005B210F"/>
    <w:rsid w:val="005B2329"/>
    <w:rsid w:val="005B48E7"/>
    <w:rsid w:val="005B556E"/>
    <w:rsid w:val="005B7E21"/>
    <w:rsid w:val="005B7F90"/>
    <w:rsid w:val="005C209A"/>
    <w:rsid w:val="005C7F6D"/>
    <w:rsid w:val="005D2162"/>
    <w:rsid w:val="005D4498"/>
    <w:rsid w:val="005D460F"/>
    <w:rsid w:val="005D5BB3"/>
    <w:rsid w:val="005D60B1"/>
    <w:rsid w:val="005D65AC"/>
    <w:rsid w:val="005E2B68"/>
    <w:rsid w:val="005E2C7B"/>
    <w:rsid w:val="005E2DF6"/>
    <w:rsid w:val="005E48F0"/>
    <w:rsid w:val="005E5F45"/>
    <w:rsid w:val="005E5F9E"/>
    <w:rsid w:val="005E7533"/>
    <w:rsid w:val="005F13AC"/>
    <w:rsid w:val="005F1664"/>
    <w:rsid w:val="005F1E71"/>
    <w:rsid w:val="005F3168"/>
    <w:rsid w:val="005F4579"/>
    <w:rsid w:val="005F53A5"/>
    <w:rsid w:val="005F61BD"/>
    <w:rsid w:val="005F62ED"/>
    <w:rsid w:val="005F6887"/>
    <w:rsid w:val="005F6F05"/>
    <w:rsid w:val="00604795"/>
    <w:rsid w:val="006049BE"/>
    <w:rsid w:val="006055D9"/>
    <w:rsid w:val="00605D28"/>
    <w:rsid w:val="00606B2D"/>
    <w:rsid w:val="00607333"/>
    <w:rsid w:val="00607EF9"/>
    <w:rsid w:val="006118C3"/>
    <w:rsid w:val="006141B6"/>
    <w:rsid w:val="00614A06"/>
    <w:rsid w:val="00615E62"/>
    <w:rsid w:val="00616074"/>
    <w:rsid w:val="006178E4"/>
    <w:rsid w:val="00620490"/>
    <w:rsid w:val="00621152"/>
    <w:rsid w:val="00622430"/>
    <w:rsid w:val="00626A88"/>
    <w:rsid w:val="00626E26"/>
    <w:rsid w:val="0062747C"/>
    <w:rsid w:val="00630C7E"/>
    <w:rsid w:val="0063168B"/>
    <w:rsid w:val="00631AAF"/>
    <w:rsid w:val="00632733"/>
    <w:rsid w:val="006342D7"/>
    <w:rsid w:val="00635D87"/>
    <w:rsid w:val="00636291"/>
    <w:rsid w:val="00636AFE"/>
    <w:rsid w:val="00637505"/>
    <w:rsid w:val="00642E77"/>
    <w:rsid w:val="006432CB"/>
    <w:rsid w:val="00645482"/>
    <w:rsid w:val="00646BCD"/>
    <w:rsid w:val="006471EC"/>
    <w:rsid w:val="00651918"/>
    <w:rsid w:val="006546BF"/>
    <w:rsid w:val="00654775"/>
    <w:rsid w:val="00654AC3"/>
    <w:rsid w:val="00656123"/>
    <w:rsid w:val="0065758C"/>
    <w:rsid w:val="006575EA"/>
    <w:rsid w:val="00660259"/>
    <w:rsid w:val="0066133D"/>
    <w:rsid w:val="0066430C"/>
    <w:rsid w:val="006652D0"/>
    <w:rsid w:val="006659FF"/>
    <w:rsid w:val="00665B3D"/>
    <w:rsid w:val="00671216"/>
    <w:rsid w:val="006714AD"/>
    <w:rsid w:val="00671DE4"/>
    <w:rsid w:val="006738C7"/>
    <w:rsid w:val="006744C3"/>
    <w:rsid w:val="00674C87"/>
    <w:rsid w:val="00675221"/>
    <w:rsid w:val="006753AC"/>
    <w:rsid w:val="006754DD"/>
    <w:rsid w:val="00675993"/>
    <w:rsid w:val="00676B10"/>
    <w:rsid w:val="0068395A"/>
    <w:rsid w:val="006864C6"/>
    <w:rsid w:val="00686D00"/>
    <w:rsid w:val="00687B9B"/>
    <w:rsid w:val="0069054D"/>
    <w:rsid w:val="0069133D"/>
    <w:rsid w:val="00691D4B"/>
    <w:rsid w:val="00692591"/>
    <w:rsid w:val="0069277C"/>
    <w:rsid w:val="006952EC"/>
    <w:rsid w:val="00697D7D"/>
    <w:rsid w:val="006A0E4C"/>
    <w:rsid w:val="006A203B"/>
    <w:rsid w:val="006A2E3D"/>
    <w:rsid w:val="006A360A"/>
    <w:rsid w:val="006A3D28"/>
    <w:rsid w:val="006A479A"/>
    <w:rsid w:val="006A4F68"/>
    <w:rsid w:val="006A50E8"/>
    <w:rsid w:val="006A5890"/>
    <w:rsid w:val="006A5D1F"/>
    <w:rsid w:val="006A623A"/>
    <w:rsid w:val="006B0039"/>
    <w:rsid w:val="006B0C0D"/>
    <w:rsid w:val="006B0CDE"/>
    <w:rsid w:val="006B3C0E"/>
    <w:rsid w:val="006B3DEE"/>
    <w:rsid w:val="006B6447"/>
    <w:rsid w:val="006B6676"/>
    <w:rsid w:val="006B7375"/>
    <w:rsid w:val="006C0DD5"/>
    <w:rsid w:val="006C359F"/>
    <w:rsid w:val="006C3DA6"/>
    <w:rsid w:val="006C4C2C"/>
    <w:rsid w:val="006E0F57"/>
    <w:rsid w:val="006E3BA9"/>
    <w:rsid w:val="006E3C80"/>
    <w:rsid w:val="006E4AC9"/>
    <w:rsid w:val="006E7E35"/>
    <w:rsid w:val="006F19C7"/>
    <w:rsid w:val="006F2A25"/>
    <w:rsid w:val="006F3518"/>
    <w:rsid w:val="006F54C8"/>
    <w:rsid w:val="006F5C43"/>
    <w:rsid w:val="006F6C0E"/>
    <w:rsid w:val="00700682"/>
    <w:rsid w:val="00702612"/>
    <w:rsid w:val="007027B8"/>
    <w:rsid w:val="007044CC"/>
    <w:rsid w:val="00704D51"/>
    <w:rsid w:val="0070751B"/>
    <w:rsid w:val="0071066D"/>
    <w:rsid w:val="00712ED3"/>
    <w:rsid w:val="00713C80"/>
    <w:rsid w:val="00714C6B"/>
    <w:rsid w:val="00715DE6"/>
    <w:rsid w:val="007171DA"/>
    <w:rsid w:val="00722596"/>
    <w:rsid w:val="00724267"/>
    <w:rsid w:val="007271AA"/>
    <w:rsid w:val="00727BF5"/>
    <w:rsid w:val="00732BF9"/>
    <w:rsid w:val="0073460A"/>
    <w:rsid w:val="0073505B"/>
    <w:rsid w:val="00736144"/>
    <w:rsid w:val="00736614"/>
    <w:rsid w:val="0074023D"/>
    <w:rsid w:val="0074040F"/>
    <w:rsid w:val="00741CC8"/>
    <w:rsid w:val="00741E20"/>
    <w:rsid w:val="0074376C"/>
    <w:rsid w:val="0074559A"/>
    <w:rsid w:val="00745A46"/>
    <w:rsid w:val="00745B61"/>
    <w:rsid w:val="0074717A"/>
    <w:rsid w:val="007507C9"/>
    <w:rsid w:val="00751DC2"/>
    <w:rsid w:val="00751EF7"/>
    <w:rsid w:val="007526D3"/>
    <w:rsid w:val="00752E14"/>
    <w:rsid w:val="00753111"/>
    <w:rsid w:val="007536F1"/>
    <w:rsid w:val="007538E5"/>
    <w:rsid w:val="00754BBA"/>
    <w:rsid w:val="00754DF0"/>
    <w:rsid w:val="00754EA1"/>
    <w:rsid w:val="0075535C"/>
    <w:rsid w:val="00755942"/>
    <w:rsid w:val="007608FD"/>
    <w:rsid w:val="007634F7"/>
    <w:rsid w:val="00763E20"/>
    <w:rsid w:val="007658BB"/>
    <w:rsid w:val="00767FBD"/>
    <w:rsid w:val="00772B24"/>
    <w:rsid w:val="0077378A"/>
    <w:rsid w:val="007741A5"/>
    <w:rsid w:val="00776B19"/>
    <w:rsid w:val="00776C5A"/>
    <w:rsid w:val="00781942"/>
    <w:rsid w:val="0078206D"/>
    <w:rsid w:val="00782298"/>
    <w:rsid w:val="0078262D"/>
    <w:rsid w:val="007827A9"/>
    <w:rsid w:val="00782814"/>
    <w:rsid w:val="00783D3A"/>
    <w:rsid w:val="00785297"/>
    <w:rsid w:val="00787C3B"/>
    <w:rsid w:val="00787ECD"/>
    <w:rsid w:val="00787F92"/>
    <w:rsid w:val="00790254"/>
    <w:rsid w:val="0079107C"/>
    <w:rsid w:val="00797DD9"/>
    <w:rsid w:val="007A1412"/>
    <w:rsid w:val="007A14FC"/>
    <w:rsid w:val="007A3752"/>
    <w:rsid w:val="007A4260"/>
    <w:rsid w:val="007A4F40"/>
    <w:rsid w:val="007A5594"/>
    <w:rsid w:val="007B254A"/>
    <w:rsid w:val="007B2A91"/>
    <w:rsid w:val="007B3742"/>
    <w:rsid w:val="007B3DA1"/>
    <w:rsid w:val="007C0F04"/>
    <w:rsid w:val="007C2954"/>
    <w:rsid w:val="007C43B2"/>
    <w:rsid w:val="007D0F15"/>
    <w:rsid w:val="007D17D7"/>
    <w:rsid w:val="007D1E17"/>
    <w:rsid w:val="007D3412"/>
    <w:rsid w:val="007D39FC"/>
    <w:rsid w:val="007D460F"/>
    <w:rsid w:val="007D563A"/>
    <w:rsid w:val="007D6A1F"/>
    <w:rsid w:val="007D717A"/>
    <w:rsid w:val="007D755A"/>
    <w:rsid w:val="007E2474"/>
    <w:rsid w:val="007E2490"/>
    <w:rsid w:val="007E29D8"/>
    <w:rsid w:val="007E39B5"/>
    <w:rsid w:val="007E3EDF"/>
    <w:rsid w:val="007E7216"/>
    <w:rsid w:val="007E73BB"/>
    <w:rsid w:val="007F020F"/>
    <w:rsid w:val="007F2CDA"/>
    <w:rsid w:val="007F5C13"/>
    <w:rsid w:val="008007BC"/>
    <w:rsid w:val="00800D17"/>
    <w:rsid w:val="008022A3"/>
    <w:rsid w:val="008024DE"/>
    <w:rsid w:val="0080318D"/>
    <w:rsid w:val="00810497"/>
    <w:rsid w:val="008117D1"/>
    <w:rsid w:val="008124A3"/>
    <w:rsid w:val="008128AF"/>
    <w:rsid w:val="00814CBF"/>
    <w:rsid w:val="008167F1"/>
    <w:rsid w:val="00817857"/>
    <w:rsid w:val="00820341"/>
    <w:rsid w:val="008204AF"/>
    <w:rsid w:val="00820709"/>
    <w:rsid w:val="00823789"/>
    <w:rsid w:val="008252D6"/>
    <w:rsid w:val="0083025B"/>
    <w:rsid w:val="008302A4"/>
    <w:rsid w:val="00831C94"/>
    <w:rsid w:val="00831DFB"/>
    <w:rsid w:val="00832FFA"/>
    <w:rsid w:val="00836C1C"/>
    <w:rsid w:val="00837646"/>
    <w:rsid w:val="008453A3"/>
    <w:rsid w:val="00846503"/>
    <w:rsid w:val="00846566"/>
    <w:rsid w:val="0085033B"/>
    <w:rsid w:val="00851809"/>
    <w:rsid w:val="008525D8"/>
    <w:rsid w:val="008532DA"/>
    <w:rsid w:val="008533D1"/>
    <w:rsid w:val="00853681"/>
    <w:rsid w:val="00853B4B"/>
    <w:rsid w:val="00853CE8"/>
    <w:rsid w:val="008559AE"/>
    <w:rsid w:val="00855B1D"/>
    <w:rsid w:val="0085645F"/>
    <w:rsid w:val="008567E0"/>
    <w:rsid w:val="008643BD"/>
    <w:rsid w:val="00865CAE"/>
    <w:rsid w:val="00865D91"/>
    <w:rsid w:val="008702E1"/>
    <w:rsid w:val="00872B5D"/>
    <w:rsid w:val="00875A78"/>
    <w:rsid w:val="0087650C"/>
    <w:rsid w:val="00877116"/>
    <w:rsid w:val="00882F65"/>
    <w:rsid w:val="008856E5"/>
    <w:rsid w:val="00885796"/>
    <w:rsid w:val="00885D67"/>
    <w:rsid w:val="008860E0"/>
    <w:rsid w:val="0088703F"/>
    <w:rsid w:val="00887581"/>
    <w:rsid w:val="008905B0"/>
    <w:rsid w:val="008934B5"/>
    <w:rsid w:val="008A3974"/>
    <w:rsid w:val="008A3C5B"/>
    <w:rsid w:val="008A3D7D"/>
    <w:rsid w:val="008A411A"/>
    <w:rsid w:val="008A60C5"/>
    <w:rsid w:val="008A6395"/>
    <w:rsid w:val="008A68F8"/>
    <w:rsid w:val="008A69BF"/>
    <w:rsid w:val="008A734B"/>
    <w:rsid w:val="008B2161"/>
    <w:rsid w:val="008B2768"/>
    <w:rsid w:val="008B285E"/>
    <w:rsid w:val="008B74FB"/>
    <w:rsid w:val="008B7B44"/>
    <w:rsid w:val="008C3440"/>
    <w:rsid w:val="008C41C1"/>
    <w:rsid w:val="008D1725"/>
    <w:rsid w:val="008D1FE8"/>
    <w:rsid w:val="008D2514"/>
    <w:rsid w:val="008D3DAD"/>
    <w:rsid w:val="008D4236"/>
    <w:rsid w:val="008D42CA"/>
    <w:rsid w:val="008D4993"/>
    <w:rsid w:val="008D5691"/>
    <w:rsid w:val="008D620F"/>
    <w:rsid w:val="008D651F"/>
    <w:rsid w:val="008D6CBF"/>
    <w:rsid w:val="008D7AD2"/>
    <w:rsid w:val="008E0487"/>
    <w:rsid w:val="008E116F"/>
    <w:rsid w:val="008E1AB8"/>
    <w:rsid w:val="008E30EF"/>
    <w:rsid w:val="008E3457"/>
    <w:rsid w:val="008E3D8D"/>
    <w:rsid w:val="008E433A"/>
    <w:rsid w:val="008E4E50"/>
    <w:rsid w:val="008E4FD3"/>
    <w:rsid w:val="008E527D"/>
    <w:rsid w:val="008E630B"/>
    <w:rsid w:val="008E6689"/>
    <w:rsid w:val="008F0FA7"/>
    <w:rsid w:val="008F3550"/>
    <w:rsid w:val="008F67C3"/>
    <w:rsid w:val="00902B81"/>
    <w:rsid w:val="00904F6B"/>
    <w:rsid w:val="00907BF1"/>
    <w:rsid w:val="00907D12"/>
    <w:rsid w:val="009104D7"/>
    <w:rsid w:val="009135F4"/>
    <w:rsid w:val="009142EC"/>
    <w:rsid w:val="00914A14"/>
    <w:rsid w:val="00915240"/>
    <w:rsid w:val="00916930"/>
    <w:rsid w:val="00917056"/>
    <w:rsid w:val="009214A8"/>
    <w:rsid w:val="00922017"/>
    <w:rsid w:val="009227CA"/>
    <w:rsid w:val="00922F40"/>
    <w:rsid w:val="0092394B"/>
    <w:rsid w:val="00925CB5"/>
    <w:rsid w:val="00930CE1"/>
    <w:rsid w:val="00933D1A"/>
    <w:rsid w:val="00934558"/>
    <w:rsid w:val="00934BEE"/>
    <w:rsid w:val="00934FEE"/>
    <w:rsid w:val="00936460"/>
    <w:rsid w:val="00936690"/>
    <w:rsid w:val="00936722"/>
    <w:rsid w:val="00940989"/>
    <w:rsid w:val="00940DF1"/>
    <w:rsid w:val="00941934"/>
    <w:rsid w:val="00941BDB"/>
    <w:rsid w:val="00943574"/>
    <w:rsid w:val="00944335"/>
    <w:rsid w:val="00947502"/>
    <w:rsid w:val="00947680"/>
    <w:rsid w:val="009513B8"/>
    <w:rsid w:val="009531B0"/>
    <w:rsid w:val="009537E1"/>
    <w:rsid w:val="00954B83"/>
    <w:rsid w:val="009556D5"/>
    <w:rsid w:val="00955AA0"/>
    <w:rsid w:val="00957890"/>
    <w:rsid w:val="0096174D"/>
    <w:rsid w:val="00961FD6"/>
    <w:rsid w:val="00962D13"/>
    <w:rsid w:val="00962FA9"/>
    <w:rsid w:val="0096406D"/>
    <w:rsid w:val="00964512"/>
    <w:rsid w:val="00964DEC"/>
    <w:rsid w:val="00965386"/>
    <w:rsid w:val="00965EA2"/>
    <w:rsid w:val="0097136F"/>
    <w:rsid w:val="009719AE"/>
    <w:rsid w:val="009719B4"/>
    <w:rsid w:val="00972AED"/>
    <w:rsid w:val="009739DD"/>
    <w:rsid w:val="00975CB0"/>
    <w:rsid w:val="00976F9B"/>
    <w:rsid w:val="009776F0"/>
    <w:rsid w:val="0098187C"/>
    <w:rsid w:val="00982AF0"/>
    <w:rsid w:val="00983902"/>
    <w:rsid w:val="00984AD4"/>
    <w:rsid w:val="00985476"/>
    <w:rsid w:val="00985B06"/>
    <w:rsid w:val="00985EDA"/>
    <w:rsid w:val="00986EC4"/>
    <w:rsid w:val="00991CC4"/>
    <w:rsid w:val="0099224C"/>
    <w:rsid w:val="0099336B"/>
    <w:rsid w:val="009952EE"/>
    <w:rsid w:val="00995BC2"/>
    <w:rsid w:val="0099688A"/>
    <w:rsid w:val="009A277B"/>
    <w:rsid w:val="009A398C"/>
    <w:rsid w:val="009A5780"/>
    <w:rsid w:val="009A62E9"/>
    <w:rsid w:val="009A6A0A"/>
    <w:rsid w:val="009A6C7D"/>
    <w:rsid w:val="009A7EA1"/>
    <w:rsid w:val="009A7FC6"/>
    <w:rsid w:val="009B2508"/>
    <w:rsid w:val="009B3E78"/>
    <w:rsid w:val="009B52E1"/>
    <w:rsid w:val="009B705F"/>
    <w:rsid w:val="009C1D49"/>
    <w:rsid w:val="009C23D4"/>
    <w:rsid w:val="009C35B5"/>
    <w:rsid w:val="009C53FA"/>
    <w:rsid w:val="009C57AE"/>
    <w:rsid w:val="009C5958"/>
    <w:rsid w:val="009C5D89"/>
    <w:rsid w:val="009C6049"/>
    <w:rsid w:val="009C6057"/>
    <w:rsid w:val="009C7FDB"/>
    <w:rsid w:val="009D0C19"/>
    <w:rsid w:val="009D1782"/>
    <w:rsid w:val="009D24FE"/>
    <w:rsid w:val="009D381A"/>
    <w:rsid w:val="009D3D4D"/>
    <w:rsid w:val="009D47E1"/>
    <w:rsid w:val="009D5374"/>
    <w:rsid w:val="009D7406"/>
    <w:rsid w:val="009E01DE"/>
    <w:rsid w:val="009E19BE"/>
    <w:rsid w:val="009E4CD1"/>
    <w:rsid w:val="009E5005"/>
    <w:rsid w:val="009E74A7"/>
    <w:rsid w:val="009E7A42"/>
    <w:rsid w:val="009F1465"/>
    <w:rsid w:val="009F263B"/>
    <w:rsid w:val="009F2D07"/>
    <w:rsid w:val="009F38D4"/>
    <w:rsid w:val="009F3C63"/>
    <w:rsid w:val="009F5EB1"/>
    <w:rsid w:val="009F6B31"/>
    <w:rsid w:val="009F6B87"/>
    <w:rsid w:val="009F78C0"/>
    <w:rsid w:val="009F790C"/>
    <w:rsid w:val="009F79A9"/>
    <w:rsid w:val="00A01016"/>
    <w:rsid w:val="00A0198B"/>
    <w:rsid w:val="00A01F11"/>
    <w:rsid w:val="00A02A9D"/>
    <w:rsid w:val="00A02C17"/>
    <w:rsid w:val="00A03065"/>
    <w:rsid w:val="00A0390B"/>
    <w:rsid w:val="00A0395B"/>
    <w:rsid w:val="00A05DE2"/>
    <w:rsid w:val="00A060AD"/>
    <w:rsid w:val="00A067E2"/>
    <w:rsid w:val="00A07E5D"/>
    <w:rsid w:val="00A14793"/>
    <w:rsid w:val="00A167CE"/>
    <w:rsid w:val="00A206F1"/>
    <w:rsid w:val="00A22BA1"/>
    <w:rsid w:val="00A259D0"/>
    <w:rsid w:val="00A25F31"/>
    <w:rsid w:val="00A302CC"/>
    <w:rsid w:val="00A312DF"/>
    <w:rsid w:val="00A31AF0"/>
    <w:rsid w:val="00A3279D"/>
    <w:rsid w:val="00A33090"/>
    <w:rsid w:val="00A346B2"/>
    <w:rsid w:val="00A34F81"/>
    <w:rsid w:val="00A35113"/>
    <w:rsid w:val="00A35679"/>
    <w:rsid w:val="00A37876"/>
    <w:rsid w:val="00A403FE"/>
    <w:rsid w:val="00A41257"/>
    <w:rsid w:val="00A41CF8"/>
    <w:rsid w:val="00A44F0C"/>
    <w:rsid w:val="00A52332"/>
    <w:rsid w:val="00A5248D"/>
    <w:rsid w:val="00A527A2"/>
    <w:rsid w:val="00A52C61"/>
    <w:rsid w:val="00A5386F"/>
    <w:rsid w:val="00A555BE"/>
    <w:rsid w:val="00A55848"/>
    <w:rsid w:val="00A55A8E"/>
    <w:rsid w:val="00A55C3B"/>
    <w:rsid w:val="00A55EF1"/>
    <w:rsid w:val="00A57B99"/>
    <w:rsid w:val="00A600F0"/>
    <w:rsid w:val="00A63A6A"/>
    <w:rsid w:val="00A63B1C"/>
    <w:rsid w:val="00A651C4"/>
    <w:rsid w:val="00A66B22"/>
    <w:rsid w:val="00A672C1"/>
    <w:rsid w:val="00A716C0"/>
    <w:rsid w:val="00A7206D"/>
    <w:rsid w:val="00A723B5"/>
    <w:rsid w:val="00A727D9"/>
    <w:rsid w:val="00A72932"/>
    <w:rsid w:val="00A74EF2"/>
    <w:rsid w:val="00A7582D"/>
    <w:rsid w:val="00A76A70"/>
    <w:rsid w:val="00A77A16"/>
    <w:rsid w:val="00A77A8D"/>
    <w:rsid w:val="00A8049F"/>
    <w:rsid w:val="00A81815"/>
    <w:rsid w:val="00A82F3A"/>
    <w:rsid w:val="00A8367D"/>
    <w:rsid w:val="00A8494E"/>
    <w:rsid w:val="00A853EB"/>
    <w:rsid w:val="00A86327"/>
    <w:rsid w:val="00A86F23"/>
    <w:rsid w:val="00A908C1"/>
    <w:rsid w:val="00A920FC"/>
    <w:rsid w:val="00A92433"/>
    <w:rsid w:val="00A92BF7"/>
    <w:rsid w:val="00A933C2"/>
    <w:rsid w:val="00A93E6C"/>
    <w:rsid w:val="00A94FBC"/>
    <w:rsid w:val="00A96ED4"/>
    <w:rsid w:val="00A97EB1"/>
    <w:rsid w:val="00AA1167"/>
    <w:rsid w:val="00AA2232"/>
    <w:rsid w:val="00AA3B15"/>
    <w:rsid w:val="00AA3D8D"/>
    <w:rsid w:val="00AA4981"/>
    <w:rsid w:val="00AA66B8"/>
    <w:rsid w:val="00AA70A5"/>
    <w:rsid w:val="00AB06A7"/>
    <w:rsid w:val="00AB0CE3"/>
    <w:rsid w:val="00AB0F4B"/>
    <w:rsid w:val="00AB1331"/>
    <w:rsid w:val="00AB31E4"/>
    <w:rsid w:val="00AB5854"/>
    <w:rsid w:val="00AB5D25"/>
    <w:rsid w:val="00AB5FE2"/>
    <w:rsid w:val="00AC1D4D"/>
    <w:rsid w:val="00AC2C15"/>
    <w:rsid w:val="00AC2C79"/>
    <w:rsid w:val="00AC3D93"/>
    <w:rsid w:val="00AC52A8"/>
    <w:rsid w:val="00AC56A9"/>
    <w:rsid w:val="00AC58AA"/>
    <w:rsid w:val="00AD0A42"/>
    <w:rsid w:val="00AD196C"/>
    <w:rsid w:val="00AD23B7"/>
    <w:rsid w:val="00AD6A98"/>
    <w:rsid w:val="00AE180B"/>
    <w:rsid w:val="00AE1C62"/>
    <w:rsid w:val="00AE244A"/>
    <w:rsid w:val="00AE2CDD"/>
    <w:rsid w:val="00AE3342"/>
    <w:rsid w:val="00AE44A3"/>
    <w:rsid w:val="00AE5422"/>
    <w:rsid w:val="00AE58C8"/>
    <w:rsid w:val="00AE681F"/>
    <w:rsid w:val="00AF004E"/>
    <w:rsid w:val="00AF0F38"/>
    <w:rsid w:val="00AF1E09"/>
    <w:rsid w:val="00AF2876"/>
    <w:rsid w:val="00AF65D8"/>
    <w:rsid w:val="00AF751F"/>
    <w:rsid w:val="00B035A5"/>
    <w:rsid w:val="00B035CE"/>
    <w:rsid w:val="00B042B6"/>
    <w:rsid w:val="00B121CA"/>
    <w:rsid w:val="00B133E4"/>
    <w:rsid w:val="00B13DCC"/>
    <w:rsid w:val="00B157FA"/>
    <w:rsid w:val="00B16070"/>
    <w:rsid w:val="00B2036F"/>
    <w:rsid w:val="00B22CC0"/>
    <w:rsid w:val="00B22E3E"/>
    <w:rsid w:val="00B26E4F"/>
    <w:rsid w:val="00B27EC4"/>
    <w:rsid w:val="00B31F37"/>
    <w:rsid w:val="00B32E99"/>
    <w:rsid w:val="00B33061"/>
    <w:rsid w:val="00B35053"/>
    <w:rsid w:val="00B406CF"/>
    <w:rsid w:val="00B40971"/>
    <w:rsid w:val="00B42712"/>
    <w:rsid w:val="00B42866"/>
    <w:rsid w:val="00B42906"/>
    <w:rsid w:val="00B471A4"/>
    <w:rsid w:val="00B52425"/>
    <w:rsid w:val="00B5264F"/>
    <w:rsid w:val="00B53DFD"/>
    <w:rsid w:val="00B54AC8"/>
    <w:rsid w:val="00B60118"/>
    <w:rsid w:val="00B60630"/>
    <w:rsid w:val="00B60FF7"/>
    <w:rsid w:val="00B62BF0"/>
    <w:rsid w:val="00B633A1"/>
    <w:rsid w:val="00B63435"/>
    <w:rsid w:val="00B64048"/>
    <w:rsid w:val="00B64170"/>
    <w:rsid w:val="00B64622"/>
    <w:rsid w:val="00B64FED"/>
    <w:rsid w:val="00B70F4C"/>
    <w:rsid w:val="00B71183"/>
    <w:rsid w:val="00B7241A"/>
    <w:rsid w:val="00B7261D"/>
    <w:rsid w:val="00B756D1"/>
    <w:rsid w:val="00B7593A"/>
    <w:rsid w:val="00B7595D"/>
    <w:rsid w:val="00B773B2"/>
    <w:rsid w:val="00B77BA9"/>
    <w:rsid w:val="00B870CA"/>
    <w:rsid w:val="00B8763F"/>
    <w:rsid w:val="00B90B2F"/>
    <w:rsid w:val="00B9128A"/>
    <w:rsid w:val="00B92464"/>
    <w:rsid w:val="00B934BE"/>
    <w:rsid w:val="00B941F0"/>
    <w:rsid w:val="00B96BA9"/>
    <w:rsid w:val="00BA0E9B"/>
    <w:rsid w:val="00BA2783"/>
    <w:rsid w:val="00BA55BC"/>
    <w:rsid w:val="00BA5C18"/>
    <w:rsid w:val="00BA74D6"/>
    <w:rsid w:val="00BB06C3"/>
    <w:rsid w:val="00BB0C49"/>
    <w:rsid w:val="00BB1D11"/>
    <w:rsid w:val="00BB569A"/>
    <w:rsid w:val="00BB570C"/>
    <w:rsid w:val="00BB5C7C"/>
    <w:rsid w:val="00BB74FA"/>
    <w:rsid w:val="00BC0FD9"/>
    <w:rsid w:val="00BC3F1C"/>
    <w:rsid w:val="00BC79A1"/>
    <w:rsid w:val="00BC7F24"/>
    <w:rsid w:val="00BC7F2F"/>
    <w:rsid w:val="00BD058E"/>
    <w:rsid w:val="00BD3A23"/>
    <w:rsid w:val="00BD3F40"/>
    <w:rsid w:val="00BD4140"/>
    <w:rsid w:val="00BD4199"/>
    <w:rsid w:val="00BD6619"/>
    <w:rsid w:val="00BD6CF1"/>
    <w:rsid w:val="00BD743B"/>
    <w:rsid w:val="00BE036E"/>
    <w:rsid w:val="00BE0C9A"/>
    <w:rsid w:val="00BE3F32"/>
    <w:rsid w:val="00BE4326"/>
    <w:rsid w:val="00BE44B4"/>
    <w:rsid w:val="00BE5C11"/>
    <w:rsid w:val="00BF0D46"/>
    <w:rsid w:val="00BF4439"/>
    <w:rsid w:val="00BF56E7"/>
    <w:rsid w:val="00BF5A36"/>
    <w:rsid w:val="00BF6A06"/>
    <w:rsid w:val="00C0062A"/>
    <w:rsid w:val="00C026F8"/>
    <w:rsid w:val="00C03EFB"/>
    <w:rsid w:val="00C05522"/>
    <w:rsid w:val="00C0585F"/>
    <w:rsid w:val="00C05C9B"/>
    <w:rsid w:val="00C06440"/>
    <w:rsid w:val="00C06CA1"/>
    <w:rsid w:val="00C073CC"/>
    <w:rsid w:val="00C10880"/>
    <w:rsid w:val="00C119B6"/>
    <w:rsid w:val="00C12069"/>
    <w:rsid w:val="00C1207C"/>
    <w:rsid w:val="00C12C9C"/>
    <w:rsid w:val="00C15F98"/>
    <w:rsid w:val="00C1650A"/>
    <w:rsid w:val="00C17B81"/>
    <w:rsid w:val="00C17CCE"/>
    <w:rsid w:val="00C202FB"/>
    <w:rsid w:val="00C2091A"/>
    <w:rsid w:val="00C20D64"/>
    <w:rsid w:val="00C23DF3"/>
    <w:rsid w:val="00C24A37"/>
    <w:rsid w:val="00C24B06"/>
    <w:rsid w:val="00C25EF2"/>
    <w:rsid w:val="00C2636B"/>
    <w:rsid w:val="00C270E7"/>
    <w:rsid w:val="00C30B90"/>
    <w:rsid w:val="00C30EAA"/>
    <w:rsid w:val="00C31D1B"/>
    <w:rsid w:val="00C324B6"/>
    <w:rsid w:val="00C333F8"/>
    <w:rsid w:val="00C33452"/>
    <w:rsid w:val="00C33753"/>
    <w:rsid w:val="00C3526F"/>
    <w:rsid w:val="00C3579F"/>
    <w:rsid w:val="00C35ADD"/>
    <w:rsid w:val="00C36941"/>
    <w:rsid w:val="00C41D5E"/>
    <w:rsid w:val="00C42ECC"/>
    <w:rsid w:val="00C42F97"/>
    <w:rsid w:val="00C449E8"/>
    <w:rsid w:val="00C450B5"/>
    <w:rsid w:val="00C45CE2"/>
    <w:rsid w:val="00C46060"/>
    <w:rsid w:val="00C47706"/>
    <w:rsid w:val="00C47A6C"/>
    <w:rsid w:val="00C47A99"/>
    <w:rsid w:val="00C53125"/>
    <w:rsid w:val="00C57544"/>
    <w:rsid w:val="00C60427"/>
    <w:rsid w:val="00C6144A"/>
    <w:rsid w:val="00C635E7"/>
    <w:rsid w:val="00C64949"/>
    <w:rsid w:val="00C664DE"/>
    <w:rsid w:val="00C67B5C"/>
    <w:rsid w:val="00C70845"/>
    <w:rsid w:val="00C72FA7"/>
    <w:rsid w:val="00C73728"/>
    <w:rsid w:val="00C752CF"/>
    <w:rsid w:val="00C75320"/>
    <w:rsid w:val="00C77B4F"/>
    <w:rsid w:val="00C80D52"/>
    <w:rsid w:val="00C8113B"/>
    <w:rsid w:val="00C815D4"/>
    <w:rsid w:val="00C81FFA"/>
    <w:rsid w:val="00C824EF"/>
    <w:rsid w:val="00C83E17"/>
    <w:rsid w:val="00C86AF0"/>
    <w:rsid w:val="00C8760D"/>
    <w:rsid w:val="00C90481"/>
    <w:rsid w:val="00C91592"/>
    <w:rsid w:val="00C93BDC"/>
    <w:rsid w:val="00C9598D"/>
    <w:rsid w:val="00CA0BBD"/>
    <w:rsid w:val="00CA1286"/>
    <w:rsid w:val="00CA1DD4"/>
    <w:rsid w:val="00CA2881"/>
    <w:rsid w:val="00CA445D"/>
    <w:rsid w:val="00CA4712"/>
    <w:rsid w:val="00CA4CB5"/>
    <w:rsid w:val="00CA5887"/>
    <w:rsid w:val="00CA7397"/>
    <w:rsid w:val="00CB161B"/>
    <w:rsid w:val="00CB2E07"/>
    <w:rsid w:val="00CB427D"/>
    <w:rsid w:val="00CD19B4"/>
    <w:rsid w:val="00CD1D3A"/>
    <w:rsid w:val="00CD2C45"/>
    <w:rsid w:val="00CD3B1D"/>
    <w:rsid w:val="00CD4860"/>
    <w:rsid w:val="00CD5016"/>
    <w:rsid w:val="00CD50D3"/>
    <w:rsid w:val="00CD56CC"/>
    <w:rsid w:val="00CD625A"/>
    <w:rsid w:val="00CE0BCA"/>
    <w:rsid w:val="00CE1C8A"/>
    <w:rsid w:val="00CE1D60"/>
    <w:rsid w:val="00CE45E5"/>
    <w:rsid w:val="00CE677E"/>
    <w:rsid w:val="00CE6FE6"/>
    <w:rsid w:val="00CE72D3"/>
    <w:rsid w:val="00CE7316"/>
    <w:rsid w:val="00CF2076"/>
    <w:rsid w:val="00CF26A5"/>
    <w:rsid w:val="00CF2C5A"/>
    <w:rsid w:val="00CF2DEE"/>
    <w:rsid w:val="00CF3676"/>
    <w:rsid w:val="00CF4ABB"/>
    <w:rsid w:val="00CF52E5"/>
    <w:rsid w:val="00CF5F5F"/>
    <w:rsid w:val="00CF678E"/>
    <w:rsid w:val="00CF6E6B"/>
    <w:rsid w:val="00CF7DC4"/>
    <w:rsid w:val="00D021A7"/>
    <w:rsid w:val="00D023EA"/>
    <w:rsid w:val="00D03E89"/>
    <w:rsid w:val="00D04264"/>
    <w:rsid w:val="00D04988"/>
    <w:rsid w:val="00D13030"/>
    <w:rsid w:val="00D135F7"/>
    <w:rsid w:val="00D16D79"/>
    <w:rsid w:val="00D202DB"/>
    <w:rsid w:val="00D20BC1"/>
    <w:rsid w:val="00D23E59"/>
    <w:rsid w:val="00D2535F"/>
    <w:rsid w:val="00D2608E"/>
    <w:rsid w:val="00D26815"/>
    <w:rsid w:val="00D272AA"/>
    <w:rsid w:val="00D312F9"/>
    <w:rsid w:val="00D31F38"/>
    <w:rsid w:val="00D33F90"/>
    <w:rsid w:val="00D356AE"/>
    <w:rsid w:val="00D35D2A"/>
    <w:rsid w:val="00D362B1"/>
    <w:rsid w:val="00D40B11"/>
    <w:rsid w:val="00D42120"/>
    <w:rsid w:val="00D43D67"/>
    <w:rsid w:val="00D450F9"/>
    <w:rsid w:val="00D45D9C"/>
    <w:rsid w:val="00D4629D"/>
    <w:rsid w:val="00D50016"/>
    <w:rsid w:val="00D508BA"/>
    <w:rsid w:val="00D52032"/>
    <w:rsid w:val="00D52152"/>
    <w:rsid w:val="00D5245C"/>
    <w:rsid w:val="00D534DC"/>
    <w:rsid w:val="00D54125"/>
    <w:rsid w:val="00D55E88"/>
    <w:rsid w:val="00D56859"/>
    <w:rsid w:val="00D570D8"/>
    <w:rsid w:val="00D6419F"/>
    <w:rsid w:val="00D64DC6"/>
    <w:rsid w:val="00D64EF0"/>
    <w:rsid w:val="00D66DAA"/>
    <w:rsid w:val="00D705E8"/>
    <w:rsid w:val="00D70D5A"/>
    <w:rsid w:val="00D73B83"/>
    <w:rsid w:val="00D74462"/>
    <w:rsid w:val="00D768D6"/>
    <w:rsid w:val="00D836E1"/>
    <w:rsid w:val="00D86A81"/>
    <w:rsid w:val="00D86E87"/>
    <w:rsid w:val="00D91078"/>
    <w:rsid w:val="00D91A58"/>
    <w:rsid w:val="00D92BC4"/>
    <w:rsid w:val="00D956C0"/>
    <w:rsid w:val="00D95D5D"/>
    <w:rsid w:val="00D963FC"/>
    <w:rsid w:val="00D964C7"/>
    <w:rsid w:val="00D96561"/>
    <w:rsid w:val="00D965B9"/>
    <w:rsid w:val="00D9778E"/>
    <w:rsid w:val="00DA210A"/>
    <w:rsid w:val="00DA2184"/>
    <w:rsid w:val="00DA4B32"/>
    <w:rsid w:val="00DA54E0"/>
    <w:rsid w:val="00DA6124"/>
    <w:rsid w:val="00DA7B1B"/>
    <w:rsid w:val="00DB03A5"/>
    <w:rsid w:val="00DB14AB"/>
    <w:rsid w:val="00DB2699"/>
    <w:rsid w:val="00DB38EC"/>
    <w:rsid w:val="00DB6AE3"/>
    <w:rsid w:val="00DC1547"/>
    <w:rsid w:val="00DC1B82"/>
    <w:rsid w:val="00DC22D0"/>
    <w:rsid w:val="00DC5916"/>
    <w:rsid w:val="00DC5DDE"/>
    <w:rsid w:val="00DC7D5F"/>
    <w:rsid w:val="00DD0882"/>
    <w:rsid w:val="00DD3373"/>
    <w:rsid w:val="00DD35F2"/>
    <w:rsid w:val="00DD4BA9"/>
    <w:rsid w:val="00DD4BF8"/>
    <w:rsid w:val="00DD56F9"/>
    <w:rsid w:val="00DD6645"/>
    <w:rsid w:val="00DE2599"/>
    <w:rsid w:val="00DE2C20"/>
    <w:rsid w:val="00DE423F"/>
    <w:rsid w:val="00DE4931"/>
    <w:rsid w:val="00DE7C35"/>
    <w:rsid w:val="00DF04AE"/>
    <w:rsid w:val="00DF236A"/>
    <w:rsid w:val="00DF6C26"/>
    <w:rsid w:val="00E02F10"/>
    <w:rsid w:val="00E03587"/>
    <w:rsid w:val="00E054C6"/>
    <w:rsid w:val="00E07573"/>
    <w:rsid w:val="00E07A74"/>
    <w:rsid w:val="00E11A59"/>
    <w:rsid w:val="00E11B9D"/>
    <w:rsid w:val="00E1380E"/>
    <w:rsid w:val="00E14CFE"/>
    <w:rsid w:val="00E163D7"/>
    <w:rsid w:val="00E20287"/>
    <w:rsid w:val="00E2051B"/>
    <w:rsid w:val="00E2227A"/>
    <w:rsid w:val="00E228DD"/>
    <w:rsid w:val="00E22B82"/>
    <w:rsid w:val="00E24344"/>
    <w:rsid w:val="00E2573E"/>
    <w:rsid w:val="00E275B3"/>
    <w:rsid w:val="00E312D7"/>
    <w:rsid w:val="00E32B70"/>
    <w:rsid w:val="00E3545A"/>
    <w:rsid w:val="00E36D2F"/>
    <w:rsid w:val="00E36F57"/>
    <w:rsid w:val="00E3762D"/>
    <w:rsid w:val="00E40A88"/>
    <w:rsid w:val="00E41523"/>
    <w:rsid w:val="00E42083"/>
    <w:rsid w:val="00E42C07"/>
    <w:rsid w:val="00E473A6"/>
    <w:rsid w:val="00E536FA"/>
    <w:rsid w:val="00E559C0"/>
    <w:rsid w:val="00E56884"/>
    <w:rsid w:val="00E57BC3"/>
    <w:rsid w:val="00E61B6F"/>
    <w:rsid w:val="00E61BD2"/>
    <w:rsid w:val="00E61D33"/>
    <w:rsid w:val="00E61FDD"/>
    <w:rsid w:val="00E629EB"/>
    <w:rsid w:val="00E630BC"/>
    <w:rsid w:val="00E6410F"/>
    <w:rsid w:val="00E64D40"/>
    <w:rsid w:val="00E66E38"/>
    <w:rsid w:val="00E66EA0"/>
    <w:rsid w:val="00E6700E"/>
    <w:rsid w:val="00E67691"/>
    <w:rsid w:val="00E67881"/>
    <w:rsid w:val="00E723D6"/>
    <w:rsid w:val="00E7309B"/>
    <w:rsid w:val="00E73722"/>
    <w:rsid w:val="00E737CE"/>
    <w:rsid w:val="00E745EE"/>
    <w:rsid w:val="00E8001A"/>
    <w:rsid w:val="00E82662"/>
    <w:rsid w:val="00E82F8D"/>
    <w:rsid w:val="00E8478F"/>
    <w:rsid w:val="00E87956"/>
    <w:rsid w:val="00E90759"/>
    <w:rsid w:val="00E9167A"/>
    <w:rsid w:val="00E9243D"/>
    <w:rsid w:val="00E94656"/>
    <w:rsid w:val="00EA0A48"/>
    <w:rsid w:val="00EA102A"/>
    <w:rsid w:val="00EA363C"/>
    <w:rsid w:val="00EA4730"/>
    <w:rsid w:val="00EA4A38"/>
    <w:rsid w:val="00EA4FB8"/>
    <w:rsid w:val="00EA6A2D"/>
    <w:rsid w:val="00EB21A7"/>
    <w:rsid w:val="00EB4080"/>
    <w:rsid w:val="00EB54F0"/>
    <w:rsid w:val="00EC2BD0"/>
    <w:rsid w:val="00EC2D2E"/>
    <w:rsid w:val="00EC39B1"/>
    <w:rsid w:val="00EC7D8B"/>
    <w:rsid w:val="00ED071B"/>
    <w:rsid w:val="00ED0C28"/>
    <w:rsid w:val="00ED1CA2"/>
    <w:rsid w:val="00ED320E"/>
    <w:rsid w:val="00ED4482"/>
    <w:rsid w:val="00ED6BB7"/>
    <w:rsid w:val="00ED781E"/>
    <w:rsid w:val="00ED7880"/>
    <w:rsid w:val="00ED7A61"/>
    <w:rsid w:val="00EE136D"/>
    <w:rsid w:val="00EE29E9"/>
    <w:rsid w:val="00EE4716"/>
    <w:rsid w:val="00EE5ECB"/>
    <w:rsid w:val="00EF31F0"/>
    <w:rsid w:val="00EF5E3B"/>
    <w:rsid w:val="00EF6ABA"/>
    <w:rsid w:val="00EF79B9"/>
    <w:rsid w:val="00F0095F"/>
    <w:rsid w:val="00F02413"/>
    <w:rsid w:val="00F03AF8"/>
    <w:rsid w:val="00F04A85"/>
    <w:rsid w:val="00F060B2"/>
    <w:rsid w:val="00F10846"/>
    <w:rsid w:val="00F1618D"/>
    <w:rsid w:val="00F1773E"/>
    <w:rsid w:val="00F21CE6"/>
    <w:rsid w:val="00F23164"/>
    <w:rsid w:val="00F250B3"/>
    <w:rsid w:val="00F277B4"/>
    <w:rsid w:val="00F30197"/>
    <w:rsid w:val="00F3079E"/>
    <w:rsid w:val="00F314DF"/>
    <w:rsid w:val="00F32355"/>
    <w:rsid w:val="00F32A87"/>
    <w:rsid w:val="00F444D7"/>
    <w:rsid w:val="00F4460A"/>
    <w:rsid w:val="00F52B21"/>
    <w:rsid w:val="00F53A5B"/>
    <w:rsid w:val="00F5428F"/>
    <w:rsid w:val="00F54AE8"/>
    <w:rsid w:val="00F56903"/>
    <w:rsid w:val="00F56E26"/>
    <w:rsid w:val="00F57027"/>
    <w:rsid w:val="00F57057"/>
    <w:rsid w:val="00F62EF6"/>
    <w:rsid w:val="00F646EF"/>
    <w:rsid w:val="00F6665E"/>
    <w:rsid w:val="00F66B78"/>
    <w:rsid w:val="00F670A4"/>
    <w:rsid w:val="00F679D2"/>
    <w:rsid w:val="00F70A38"/>
    <w:rsid w:val="00F717C0"/>
    <w:rsid w:val="00F7797F"/>
    <w:rsid w:val="00F77A27"/>
    <w:rsid w:val="00F82422"/>
    <w:rsid w:val="00F85001"/>
    <w:rsid w:val="00F85C9C"/>
    <w:rsid w:val="00F862A1"/>
    <w:rsid w:val="00F90815"/>
    <w:rsid w:val="00F90951"/>
    <w:rsid w:val="00F9099E"/>
    <w:rsid w:val="00F91118"/>
    <w:rsid w:val="00F92045"/>
    <w:rsid w:val="00F94421"/>
    <w:rsid w:val="00F94484"/>
    <w:rsid w:val="00F94579"/>
    <w:rsid w:val="00F9459A"/>
    <w:rsid w:val="00F95C07"/>
    <w:rsid w:val="00F96D90"/>
    <w:rsid w:val="00FA0B3F"/>
    <w:rsid w:val="00FA0D89"/>
    <w:rsid w:val="00FA1B10"/>
    <w:rsid w:val="00FA79FB"/>
    <w:rsid w:val="00FB0DBD"/>
    <w:rsid w:val="00FB0ED9"/>
    <w:rsid w:val="00FB3FAC"/>
    <w:rsid w:val="00FC04E0"/>
    <w:rsid w:val="00FC1E9E"/>
    <w:rsid w:val="00FC4BFE"/>
    <w:rsid w:val="00FC5865"/>
    <w:rsid w:val="00FC7B41"/>
    <w:rsid w:val="00FD018A"/>
    <w:rsid w:val="00FD0618"/>
    <w:rsid w:val="00FD4CB5"/>
    <w:rsid w:val="00FD5D0D"/>
    <w:rsid w:val="00FD5EC1"/>
    <w:rsid w:val="00FD6367"/>
    <w:rsid w:val="00FE18EF"/>
    <w:rsid w:val="00FE434C"/>
    <w:rsid w:val="00FE571D"/>
    <w:rsid w:val="00FE623F"/>
    <w:rsid w:val="00FE7AC5"/>
    <w:rsid w:val="00FF0079"/>
    <w:rsid w:val="00FF10FF"/>
    <w:rsid w:val="00FF13D9"/>
    <w:rsid w:val="00FF233E"/>
    <w:rsid w:val="00FF267B"/>
    <w:rsid w:val="00FF32BF"/>
    <w:rsid w:val="00FF414B"/>
    <w:rsid w:val="00FF5C34"/>
    <w:rsid w:val="00FF6C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03F35"/>
  <w15:docId w15:val="{8505F484-651B-468A-9A0A-64ABC2103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1B6F"/>
    <w:rPr>
      <w:rFonts w:ascii="Times New Roman" w:eastAsia="Times New Roman" w:hAnsi="Times New Roman"/>
      <w:sz w:val="24"/>
      <w:szCs w:val="24"/>
    </w:rPr>
  </w:style>
  <w:style w:type="paragraph" w:styleId="1">
    <w:name w:val="heading 1"/>
    <w:basedOn w:val="a"/>
    <w:link w:val="10"/>
    <w:uiPriority w:val="9"/>
    <w:qFormat/>
    <w:rsid w:val="00230772"/>
    <w:pPr>
      <w:spacing w:before="100" w:beforeAutospacing="1" w:after="100" w:afterAutospacing="1"/>
      <w:outlineLvl w:val="0"/>
    </w:pPr>
    <w:rPr>
      <w:b/>
      <w:bCs/>
      <w:kern w:val="36"/>
      <w:sz w:val="48"/>
      <w:szCs w:val="48"/>
      <w:lang w:val="x-none" w:eastAsia="x-none"/>
    </w:rPr>
  </w:style>
  <w:style w:type="paragraph" w:styleId="2">
    <w:name w:val="heading 2"/>
    <w:basedOn w:val="a"/>
    <w:next w:val="a"/>
    <w:link w:val="20"/>
    <w:uiPriority w:val="9"/>
    <w:unhideWhenUsed/>
    <w:qFormat/>
    <w:rsid w:val="00C30EAA"/>
    <w:pPr>
      <w:keepNext/>
      <w:spacing w:before="240" w:after="60"/>
      <w:outlineLvl w:val="1"/>
    </w:pPr>
    <w:rPr>
      <w:rFonts w:ascii="Calibri Light" w:hAnsi="Calibri Light"/>
      <w:b/>
      <w:bCs/>
      <w:i/>
      <w:iCs/>
      <w:sz w:val="28"/>
      <w:szCs w:val="28"/>
      <w:lang w:val="x-none" w:eastAsia="x-none"/>
    </w:rPr>
  </w:style>
  <w:style w:type="paragraph" w:styleId="3">
    <w:name w:val="heading 3"/>
    <w:basedOn w:val="a"/>
    <w:next w:val="a"/>
    <w:link w:val="30"/>
    <w:uiPriority w:val="9"/>
    <w:unhideWhenUsed/>
    <w:qFormat/>
    <w:rsid w:val="00525019"/>
    <w:pPr>
      <w:keepNext/>
      <w:spacing w:before="240" w:after="60"/>
      <w:outlineLvl w:val="2"/>
    </w:pPr>
    <w:rPr>
      <w:rFonts w:ascii="Calibri Light" w:hAnsi="Calibri Light"/>
      <w:b/>
      <w:bCs/>
      <w:sz w:val="26"/>
      <w:szCs w:val="26"/>
      <w:lang w:val="x-none" w:eastAsia="x-none"/>
    </w:rPr>
  </w:style>
  <w:style w:type="paragraph" w:styleId="4">
    <w:name w:val="heading 4"/>
    <w:basedOn w:val="a"/>
    <w:next w:val="a"/>
    <w:link w:val="40"/>
    <w:uiPriority w:val="9"/>
    <w:unhideWhenUsed/>
    <w:qFormat/>
    <w:rsid w:val="007536F1"/>
    <w:pPr>
      <w:keepNext/>
      <w:spacing w:before="240" w:after="60"/>
      <w:outlineLvl w:val="3"/>
    </w:pPr>
    <w:rPr>
      <w:rFonts w:ascii="Calibri" w:hAnsi="Calibri"/>
      <w:b/>
      <w:bCs/>
      <w:sz w:val="28"/>
      <w:szCs w:val="28"/>
      <w:lang w:val="x-none" w:eastAsia="x-none"/>
    </w:rPr>
  </w:style>
  <w:style w:type="paragraph" w:styleId="5">
    <w:name w:val="heading 5"/>
    <w:basedOn w:val="a"/>
    <w:next w:val="a"/>
    <w:link w:val="50"/>
    <w:uiPriority w:val="9"/>
    <w:unhideWhenUsed/>
    <w:qFormat/>
    <w:rsid w:val="00745B61"/>
    <w:pPr>
      <w:keepNext/>
      <w:keepLines/>
      <w:spacing w:before="200"/>
      <w:outlineLvl w:val="4"/>
    </w:pPr>
    <w:rPr>
      <w:rFonts w:ascii="Cambria" w:hAnsi="Cambria"/>
      <w:color w:val="243F60"/>
      <w:lang w:val="x-none" w:eastAsia="x-none"/>
    </w:rPr>
  </w:style>
  <w:style w:type="paragraph" w:styleId="6">
    <w:name w:val="heading 6"/>
    <w:basedOn w:val="a"/>
    <w:next w:val="a"/>
    <w:link w:val="60"/>
    <w:uiPriority w:val="9"/>
    <w:semiHidden/>
    <w:unhideWhenUsed/>
    <w:qFormat/>
    <w:rsid w:val="00A52C61"/>
    <w:pPr>
      <w:spacing w:before="240" w:after="60"/>
      <w:outlineLvl w:val="5"/>
    </w:pPr>
    <w:rPr>
      <w:rFonts w:ascii="Calibri" w:hAnsi="Calibri"/>
      <w:b/>
      <w:bCs/>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B4080"/>
    <w:pPr>
      <w:tabs>
        <w:tab w:val="center" w:pos="4677"/>
        <w:tab w:val="right" w:pos="9355"/>
      </w:tabs>
    </w:pPr>
  </w:style>
  <w:style w:type="character" w:customStyle="1" w:styleId="a4">
    <w:name w:val="Верхний колонтитул Знак"/>
    <w:basedOn w:val="a0"/>
    <w:link w:val="a3"/>
    <w:uiPriority w:val="99"/>
    <w:rsid w:val="00EB4080"/>
  </w:style>
  <w:style w:type="paragraph" w:styleId="a5">
    <w:name w:val="footer"/>
    <w:basedOn w:val="a"/>
    <w:link w:val="a6"/>
    <w:uiPriority w:val="99"/>
    <w:unhideWhenUsed/>
    <w:rsid w:val="00EB4080"/>
    <w:pPr>
      <w:tabs>
        <w:tab w:val="center" w:pos="4677"/>
        <w:tab w:val="right" w:pos="9355"/>
      </w:tabs>
    </w:pPr>
  </w:style>
  <w:style w:type="character" w:customStyle="1" w:styleId="a6">
    <w:name w:val="Нижний колонтитул Знак"/>
    <w:basedOn w:val="a0"/>
    <w:link w:val="a5"/>
    <w:uiPriority w:val="99"/>
    <w:rsid w:val="00EB4080"/>
  </w:style>
  <w:style w:type="paragraph" w:styleId="a7">
    <w:name w:val="List Paragraph"/>
    <w:aliases w:val="маркированный,Абзац списка1"/>
    <w:basedOn w:val="a"/>
    <w:link w:val="a8"/>
    <w:uiPriority w:val="34"/>
    <w:qFormat/>
    <w:rsid w:val="00EB4080"/>
    <w:pPr>
      <w:ind w:left="720"/>
      <w:contextualSpacing/>
    </w:pPr>
    <w:rPr>
      <w:lang w:val="x-none" w:eastAsia="x-none"/>
    </w:rPr>
  </w:style>
  <w:style w:type="character" w:customStyle="1" w:styleId="a8">
    <w:name w:val="Абзац списка Знак"/>
    <w:aliases w:val="маркированный Знак,Абзац списка1 Знак"/>
    <w:link w:val="a7"/>
    <w:uiPriority w:val="34"/>
    <w:qFormat/>
    <w:locked/>
    <w:rsid w:val="00EB4080"/>
    <w:rPr>
      <w:rFonts w:ascii="Times New Roman" w:eastAsia="Times New Roman" w:hAnsi="Times New Roman" w:cs="Times New Roman"/>
      <w:sz w:val="24"/>
      <w:szCs w:val="24"/>
    </w:rPr>
  </w:style>
  <w:style w:type="paragraph" w:styleId="a9">
    <w:name w:val="Balloon Text"/>
    <w:basedOn w:val="a"/>
    <w:link w:val="aa"/>
    <w:uiPriority w:val="99"/>
    <w:semiHidden/>
    <w:unhideWhenUsed/>
    <w:rsid w:val="0069277C"/>
    <w:rPr>
      <w:rFonts w:ascii="Segoe UI" w:hAnsi="Segoe UI"/>
      <w:sz w:val="18"/>
      <w:szCs w:val="18"/>
      <w:lang w:val="x-none" w:eastAsia="x-none"/>
    </w:rPr>
  </w:style>
  <w:style w:type="character" w:customStyle="1" w:styleId="aa">
    <w:name w:val="Текст выноски Знак"/>
    <w:link w:val="a9"/>
    <w:uiPriority w:val="99"/>
    <w:semiHidden/>
    <w:rsid w:val="0069277C"/>
    <w:rPr>
      <w:rFonts w:ascii="Segoe UI" w:eastAsia="Times New Roman" w:hAnsi="Segoe UI" w:cs="Segoe UI"/>
      <w:sz w:val="18"/>
      <w:szCs w:val="18"/>
    </w:rPr>
  </w:style>
  <w:style w:type="paragraph" w:styleId="ab">
    <w:name w:val="No Spacing"/>
    <w:uiPriority w:val="1"/>
    <w:qFormat/>
    <w:rsid w:val="00A33090"/>
    <w:rPr>
      <w:rFonts w:eastAsia="Times New Roman"/>
      <w:sz w:val="22"/>
      <w:szCs w:val="22"/>
    </w:rPr>
  </w:style>
  <w:style w:type="character" w:styleId="ac">
    <w:name w:val="annotation reference"/>
    <w:uiPriority w:val="99"/>
    <w:semiHidden/>
    <w:unhideWhenUsed/>
    <w:rsid w:val="00A33090"/>
    <w:rPr>
      <w:sz w:val="16"/>
      <w:szCs w:val="16"/>
    </w:rPr>
  </w:style>
  <w:style w:type="paragraph" w:styleId="ad">
    <w:name w:val="annotation text"/>
    <w:basedOn w:val="a"/>
    <w:link w:val="ae"/>
    <w:uiPriority w:val="99"/>
    <w:semiHidden/>
    <w:unhideWhenUsed/>
    <w:rsid w:val="00A33090"/>
    <w:rPr>
      <w:sz w:val="20"/>
      <w:szCs w:val="20"/>
      <w:lang w:val="x-none" w:eastAsia="x-none"/>
    </w:rPr>
  </w:style>
  <w:style w:type="character" w:customStyle="1" w:styleId="ae">
    <w:name w:val="Текст примечания Знак"/>
    <w:link w:val="ad"/>
    <w:uiPriority w:val="99"/>
    <w:semiHidden/>
    <w:rsid w:val="00A33090"/>
    <w:rPr>
      <w:rFonts w:ascii="Times New Roman" w:eastAsia="Times New Roman" w:hAnsi="Times New Roman"/>
    </w:rPr>
  </w:style>
  <w:style w:type="character" w:styleId="af">
    <w:name w:val="Hyperlink"/>
    <w:uiPriority w:val="99"/>
    <w:unhideWhenUsed/>
    <w:rsid w:val="000D2942"/>
    <w:rPr>
      <w:color w:val="0000FF"/>
      <w:u w:val="single"/>
    </w:rPr>
  </w:style>
  <w:style w:type="character" w:styleId="af0">
    <w:name w:val="Emphasis"/>
    <w:uiPriority w:val="20"/>
    <w:qFormat/>
    <w:rsid w:val="00A02A9D"/>
    <w:rPr>
      <w:i/>
      <w:iCs/>
    </w:rPr>
  </w:style>
  <w:style w:type="character" w:customStyle="1" w:styleId="10">
    <w:name w:val="Заголовок 1 Знак"/>
    <w:link w:val="1"/>
    <w:uiPriority w:val="9"/>
    <w:rsid w:val="00230772"/>
    <w:rPr>
      <w:rFonts w:ascii="Times New Roman" w:eastAsia="Times New Roman" w:hAnsi="Times New Roman"/>
      <w:b/>
      <w:bCs/>
      <w:kern w:val="36"/>
      <w:sz w:val="48"/>
      <w:szCs w:val="48"/>
    </w:rPr>
  </w:style>
  <w:style w:type="paragraph" w:styleId="af1">
    <w:name w:val="footnote text"/>
    <w:basedOn w:val="a"/>
    <w:link w:val="af2"/>
    <w:uiPriority w:val="99"/>
    <w:unhideWhenUsed/>
    <w:rsid w:val="002C4DB9"/>
    <w:rPr>
      <w:sz w:val="20"/>
      <w:szCs w:val="20"/>
      <w:lang w:val="x-none" w:eastAsia="x-none"/>
    </w:rPr>
  </w:style>
  <w:style w:type="character" w:customStyle="1" w:styleId="af2">
    <w:name w:val="Текст сноски Знак"/>
    <w:link w:val="af1"/>
    <w:uiPriority w:val="99"/>
    <w:rsid w:val="002C4DB9"/>
    <w:rPr>
      <w:rFonts w:ascii="Times New Roman" w:eastAsia="Times New Roman" w:hAnsi="Times New Roman"/>
    </w:rPr>
  </w:style>
  <w:style w:type="character" w:styleId="af3">
    <w:name w:val="footnote reference"/>
    <w:uiPriority w:val="99"/>
    <w:semiHidden/>
    <w:unhideWhenUsed/>
    <w:rsid w:val="002C4DB9"/>
    <w:rPr>
      <w:vertAlign w:val="superscript"/>
    </w:rPr>
  </w:style>
  <w:style w:type="character" w:customStyle="1" w:styleId="30">
    <w:name w:val="Заголовок 3 Знак"/>
    <w:link w:val="3"/>
    <w:uiPriority w:val="9"/>
    <w:rsid w:val="00525019"/>
    <w:rPr>
      <w:rFonts w:ascii="Calibri Light" w:eastAsia="Times New Roman" w:hAnsi="Calibri Light" w:cs="Times New Roman"/>
      <w:b/>
      <w:bCs/>
      <w:sz w:val="26"/>
      <w:szCs w:val="26"/>
    </w:rPr>
  </w:style>
  <w:style w:type="character" w:styleId="af4">
    <w:name w:val="FollowedHyperlink"/>
    <w:uiPriority w:val="99"/>
    <w:semiHidden/>
    <w:unhideWhenUsed/>
    <w:rsid w:val="00F90815"/>
    <w:rPr>
      <w:color w:val="800080"/>
      <w:u w:val="single"/>
    </w:rPr>
  </w:style>
  <w:style w:type="paragraph" w:customStyle="1" w:styleId="w-75">
    <w:name w:val="w-75"/>
    <w:basedOn w:val="a"/>
    <w:rsid w:val="005258F4"/>
    <w:pPr>
      <w:spacing w:before="100" w:beforeAutospacing="1" w:after="100" w:afterAutospacing="1"/>
    </w:pPr>
  </w:style>
  <w:style w:type="character" w:customStyle="1" w:styleId="reference">
    <w:name w:val="reference"/>
    <w:basedOn w:val="a0"/>
    <w:rsid w:val="00303946"/>
  </w:style>
  <w:style w:type="paragraph" w:styleId="HTML">
    <w:name w:val="HTML Preformatted"/>
    <w:basedOn w:val="a"/>
    <w:link w:val="HTML0"/>
    <w:uiPriority w:val="99"/>
    <w:semiHidden/>
    <w:unhideWhenUsed/>
    <w:rsid w:val="00CA2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0">
    <w:name w:val="Стандартный HTML Знак"/>
    <w:link w:val="HTML"/>
    <w:uiPriority w:val="99"/>
    <w:semiHidden/>
    <w:rsid w:val="00CA2881"/>
    <w:rPr>
      <w:rFonts w:ascii="Courier New" w:eastAsia="Times New Roman" w:hAnsi="Courier New" w:cs="Courier New"/>
    </w:rPr>
  </w:style>
  <w:style w:type="character" w:customStyle="1" w:styleId="y2iqfc">
    <w:name w:val="y2iqfc"/>
    <w:basedOn w:val="a0"/>
    <w:rsid w:val="00CA2881"/>
  </w:style>
  <w:style w:type="character" w:styleId="af5">
    <w:name w:val="Strong"/>
    <w:uiPriority w:val="22"/>
    <w:qFormat/>
    <w:rsid w:val="006C3DA6"/>
    <w:rPr>
      <w:b/>
      <w:bCs/>
    </w:rPr>
  </w:style>
  <w:style w:type="paragraph" w:customStyle="1" w:styleId="TableParagraph">
    <w:name w:val="Table Paragraph"/>
    <w:basedOn w:val="a"/>
    <w:uiPriority w:val="1"/>
    <w:qFormat/>
    <w:rsid w:val="00A93E6C"/>
    <w:pPr>
      <w:widowControl w:val="0"/>
      <w:autoSpaceDE w:val="0"/>
      <w:autoSpaceDN w:val="0"/>
      <w:spacing w:line="315" w:lineRule="exact"/>
      <w:ind w:left="105"/>
    </w:pPr>
    <w:rPr>
      <w:sz w:val="22"/>
      <w:szCs w:val="22"/>
      <w:lang w:val="en-US" w:eastAsia="en-US"/>
    </w:rPr>
  </w:style>
  <w:style w:type="paragraph" w:styleId="af6">
    <w:name w:val="Normal (Web)"/>
    <w:basedOn w:val="a"/>
    <w:uiPriority w:val="99"/>
    <w:unhideWhenUsed/>
    <w:rsid w:val="0046600C"/>
    <w:pPr>
      <w:spacing w:before="100" w:beforeAutospacing="1" w:after="100" w:afterAutospacing="1"/>
    </w:pPr>
  </w:style>
  <w:style w:type="character" w:customStyle="1" w:styleId="50">
    <w:name w:val="Заголовок 5 Знак"/>
    <w:link w:val="5"/>
    <w:uiPriority w:val="9"/>
    <w:rsid w:val="00745B61"/>
    <w:rPr>
      <w:rFonts w:ascii="Cambria" w:eastAsia="Times New Roman" w:hAnsi="Cambria" w:cs="Times New Roman"/>
      <w:color w:val="243F60"/>
      <w:sz w:val="24"/>
      <w:szCs w:val="24"/>
    </w:rPr>
  </w:style>
  <w:style w:type="paragraph" w:customStyle="1" w:styleId="numbered-paragraph">
    <w:name w:val="numbered-paragraph"/>
    <w:basedOn w:val="a"/>
    <w:rsid w:val="00745B61"/>
    <w:pPr>
      <w:spacing w:before="100" w:beforeAutospacing="1" w:after="100" w:afterAutospacing="1"/>
    </w:pPr>
  </w:style>
  <w:style w:type="character" w:customStyle="1" w:styleId="article-headerpublish-datelabel">
    <w:name w:val="article-header__publish-date__label"/>
    <w:basedOn w:val="a0"/>
    <w:rsid w:val="004866A1"/>
  </w:style>
  <w:style w:type="character" w:customStyle="1" w:styleId="article-headerpublish-datevalue">
    <w:name w:val="article-header__publish-date__value"/>
    <w:basedOn w:val="a0"/>
    <w:rsid w:val="004866A1"/>
  </w:style>
  <w:style w:type="character" w:customStyle="1" w:styleId="label">
    <w:name w:val="label"/>
    <w:basedOn w:val="a0"/>
    <w:rsid w:val="00645482"/>
  </w:style>
  <w:style w:type="character" w:customStyle="1" w:styleId="40">
    <w:name w:val="Заголовок 4 Знак"/>
    <w:link w:val="4"/>
    <w:uiPriority w:val="9"/>
    <w:rsid w:val="007536F1"/>
    <w:rPr>
      <w:rFonts w:ascii="Calibri" w:eastAsia="Times New Roman" w:hAnsi="Calibri" w:cs="Times New Roman"/>
      <w:b/>
      <w:bCs/>
      <w:sz w:val="28"/>
      <w:szCs w:val="28"/>
    </w:rPr>
  </w:style>
  <w:style w:type="paragraph" w:customStyle="1" w:styleId="p">
    <w:name w:val="p"/>
    <w:basedOn w:val="a"/>
    <w:rsid w:val="007536F1"/>
    <w:pPr>
      <w:spacing w:before="100" w:beforeAutospacing="1" w:after="100" w:afterAutospacing="1"/>
    </w:pPr>
  </w:style>
  <w:style w:type="paragraph" w:customStyle="1" w:styleId="Default">
    <w:name w:val="Default"/>
    <w:rsid w:val="00CA4CB5"/>
    <w:pPr>
      <w:autoSpaceDE w:val="0"/>
      <w:autoSpaceDN w:val="0"/>
      <w:adjustRightInd w:val="0"/>
    </w:pPr>
    <w:rPr>
      <w:rFonts w:ascii="Arial Nova" w:hAnsi="Arial Nova" w:cs="Arial Nova"/>
      <w:color w:val="000000"/>
      <w:sz w:val="24"/>
      <w:szCs w:val="24"/>
    </w:rPr>
  </w:style>
  <w:style w:type="paragraph" w:styleId="af7">
    <w:name w:val="endnote text"/>
    <w:basedOn w:val="a"/>
    <w:link w:val="af8"/>
    <w:uiPriority w:val="99"/>
    <w:semiHidden/>
    <w:unhideWhenUsed/>
    <w:rsid w:val="00A55EF1"/>
    <w:rPr>
      <w:sz w:val="20"/>
      <w:szCs w:val="20"/>
      <w:lang w:val="x-none" w:eastAsia="x-none"/>
    </w:rPr>
  </w:style>
  <w:style w:type="character" w:customStyle="1" w:styleId="af8">
    <w:name w:val="Текст концевой сноски Знак"/>
    <w:link w:val="af7"/>
    <w:uiPriority w:val="99"/>
    <w:semiHidden/>
    <w:rsid w:val="00A55EF1"/>
    <w:rPr>
      <w:rFonts w:ascii="Times New Roman" w:eastAsia="Times New Roman" w:hAnsi="Times New Roman"/>
    </w:rPr>
  </w:style>
  <w:style w:type="character" w:styleId="af9">
    <w:name w:val="endnote reference"/>
    <w:uiPriority w:val="99"/>
    <w:semiHidden/>
    <w:unhideWhenUsed/>
    <w:rsid w:val="00A55EF1"/>
    <w:rPr>
      <w:vertAlign w:val="superscript"/>
    </w:rPr>
  </w:style>
  <w:style w:type="character" w:customStyle="1" w:styleId="60">
    <w:name w:val="Заголовок 6 Знак"/>
    <w:link w:val="6"/>
    <w:uiPriority w:val="9"/>
    <w:semiHidden/>
    <w:rsid w:val="00A52C61"/>
    <w:rPr>
      <w:rFonts w:ascii="Calibri" w:eastAsia="Times New Roman" w:hAnsi="Calibri" w:cs="Times New Roman"/>
      <w:b/>
      <w:bCs/>
      <w:sz w:val="22"/>
      <w:szCs w:val="22"/>
    </w:rPr>
  </w:style>
  <w:style w:type="character" w:customStyle="1" w:styleId="20">
    <w:name w:val="Заголовок 2 Знак"/>
    <w:link w:val="2"/>
    <w:uiPriority w:val="9"/>
    <w:rsid w:val="00C30EAA"/>
    <w:rPr>
      <w:rFonts w:ascii="Calibri Light" w:eastAsia="Times New Roman" w:hAnsi="Calibri Light" w:cs="Times New Roman"/>
      <w:b/>
      <w:bCs/>
      <w:i/>
      <w:iCs/>
      <w:sz w:val="28"/>
      <w:szCs w:val="28"/>
    </w:rPr>
  </w:style>
  <w:style w:type="character" w:customStyle="1" w:styleId="afa">
    <w:name w:val="Нет"/>
    <w:rsid w:val="0058144C"/>
  </w:style>
  <w:style w:type="paragraph" w:customStyle="1" w:styleId="ddc-reviewed-by">
    <w:name w:val="ddc-reviewed-by"/>
    <w:basedOn w:val="a"/>
    <w:rsid w:val="00FE434C"/>
    <w:pPr>
      <w:spacing w:before="100" w:beforeAutospacing="1" w:after="100" w:afterAutospacing="1"/>
    </w:pPr>
  </w:style>
  <w:style w:type="character" w:customStyle="1" w:styleId="overflow">
    <w:name w:val="overflow"/>
    <w:rsid w:val="00621152"/>
  </w:style>
  <w:style w:type="paragraph" w:customStyle="1" w:styleId="drug-subtitle">
    <w:name w:val="drug-subtitle"/>
    <w:basedOn w:val="a"/>
    <w:rsid w:val="00621152"/>
    <w:pPr>
      <w:spacing w:before="100" w:beforeAutospacing="1" w:after="100" w:afterAutospacing="1"/>
    </w:pPr>
  </w:style>
  <w:style w:type="character" w:customStyle="1" w:styleId="rynqvb">
    <w:name w:val="rynqvb"/>
    <w:rsid w:val="000E226F"/>
  </w:style>
  <w:style w:type="paragraph" w:customStyle="1" w:styleId="first">
    <w:name w:val="first"/>
    <w:basedOn w:val="a"/>
    <w:rsid w:val="00B121CA"/>
    <w:pPr>
      <w:spacing w:before="100" w:beforeAutospacing="1" w:after="100" w:afterAutospacing="1"/>
    </w:pPr>
  </w:style>
  <w:style w:type="character" w:customStyle="1" w:styleId="ezkurwreuab5ozgtqnkl">
    <w:name w:val="ezkurwreuab5ozgtqnkl"/>
    <w:rsid w:val="008B2161"/>
  </w:style>
  <w:style w:type="character" w:customStyle="1" w:styleId="relative">
    <w:name w:val="relative"/>
    <w:rsid w:val="00EC7D8B"/>
  </w:style>
  <w:style w:type="character" w:customStyle="1" w:styleId="anegp0gi0b9av8jahpyh">
    <w:name w:val="anegp0gi0b9av8jahpyh"/>
    <w:rsid w:val="00B35053"/>
  </w:style>
  <w:style w:type="numbering" w:customStyle="1" w:styleId="11">
    <w:name w:val="Нет списка1"/>
    <w:next w:val="a2"/>
    <w:uiPriority w:val="99"/>
    <w:semiHidden/>
    <w:unhideWhenUsed/>
    <w:rsid w:val="00CF3676"/>
  </w:style>
  <w:style w:type="table" w:styleId="afb">
    <w:name w:val="Table Grid"/>
    <w:basedOn w:val="a1"/>
    <w:uiPriority w:val="59"/>
    <w:rsid w:val="00CF3676"/>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5385">
      <w:bodyDiv w:val="1"/>
      <w:marLeft w:val="0"/>
      <w:marRight w:val="0"/>
      <w:marTop w:val="0"/>
      <w:marBottom w:val="0"/>
      <w:divBdr>
        <w:top w:val="none" w:sz="0" w:space="0" w:color="auto"/>
        <w:left w:val="none" w:sz="0" w:space="0" w:color="auto"/>
        <w:bottom w:val="none" w:sz="0" w:space="0" w:color="auto"/>
        <w:right w:val="none" w:sz="0" w:space="0" w:color="auto"/>
      </w:divBdr>
    </w:div>
    <w:div w:id="42757451">
      <w:bodyDiv w:val="1"/>
      <w:marLeft w:val="0"/>
      <w:marRight w:val="0"/>
      <w:marTop w:val="0"/>
      <w:marBottom w:val="0"/>
      <w:divBdr>
        <w:top w:val="none" w:sz="0" w:space="0" w:color="auto"/>
        <w:left w:val="none" w:sz="0" w:space="0" w:color="auto"/>
        <w:bottom w:val="none" w:sz="0" w:space="0" w:color="auto"/>
        <w:right w:val="none" w:sz="0" w:space="0" w:color="auto"/>
      </w:divBdr>
    </w:div>
    <w:div w:id="44913095">
      <w:bodyDiv w:val="1"/>
      <w:marLeft w:val="0"/>
      <w:marRight w:val="0"/>
      <w:marTop w:val="0"/>
      <w:marBottom w:val="0"/>
      <w:divBdr>
        <w:top w:val="none" w:sz="0" w:space="0" w:color="auto"/>
        <w:left w:val="none" w:sz="0" w:space="0" w:color="auto"/>
        <w:bottom w:val="none" w:sz="0" w:space="0" w:color="auto"/>
        <w:right w:val="none" w:sz="0" w:space="0" w:color="auto"/>
      </w:divBdr>
      <w:divsChild>
        <w:div w:id="1378167828">
          <w:marLeft w:val="0"/>
          <w:marRight w:val="0"/>
          <w:marTop w:val="60"/>
          <w:marBottom w:val="0"/>
          <w:divBdr>
            <w:top w:val="none" w:sz="0" w:space="0" w:color="auto"/>
            <w:left w:val="none" w:sz="0" w:space="0" w:color="auto"/>
            <w:bottom w:val="none" w:sz="0" w:space="0" w:color="auto"/>
            <w:right w:val="none" w:sz="0" w:space="0" w:color="auto"/>
          </w:divBdr>
          <w:divsChild>
            <w:div w:id="6916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0984">
      <w:bodyDiv w:val="1"/>
      <w:marLeft w:val="0"/>
      <w:marRight w:val="0"/>
      <w:marTop w:val="0"/>
      <w:marBottom w:val="0"/>
      <w:divBdr>
        <w:top w:val="none" w:sz="0" w:space="0" w:color="auto"/>
        <w:left w:val="none" w:sz="0" w:space="0" w:color="auto"/>
        <w:bottom w:val="none" w:sz="0" w:space="0" w:color="auto"/>
        <w:right w:val="none" w:sz="0" w:space="0" w:color="auto"/>
      </w:divBdr>
    </w:div>
    <w:div w:id="64767788">
      <w:bodyDiv w:val="1"/>
      <w:marLeft w:val="0"/>
      <w:marRight w:val="0"/>
      <w:marTop w:val="0"/>
      <w:marBottom w:val="0"/>
      <w:divBdr>
        <w:top w:val="none" w:sz="0" w:space="0" w:color="auto"/>
        <w:left w:val="none" w:sz="0" w:space="0" w:color="auto"/>
        <w:bottom w:val="none" w:sz="0" w:space="0" w:color="auto"/>
        <w:right w:val="none" w:sz="0" w:space="0" w:color="auto"/>
      </w:divBdr>
    </w:div>
    <w:div w:id="69691980">
      <w:bodyDiv w:val="1"/>
      <w:marLeft w:val="0"/>
      <w:marRight w:val="0"/>
      <w:marTop w:val="0"/>
      <w:marBottom w:val="0"/>
      <w:divBdr>
        <w:top w:val="none" w:sz="0" w:space="0" w:color="auto"/>
        <w:left w:val="none" w:sz="0" w:space="0" w:color="auto"/>
        <w:bottom w:val="none" w:sz="0" w:space="0" w:color="auto"/>
        <w:right w:val="none" w:sz="0" w:space="0" w:color="auto"/>
      </w:divBdr>
    </w:div>
    <w:div w:id="90591011">
      <w:bodyDiv w:val="1"/>
      <w:marLeft w:val="0"/>
      <w:marRight w:val="0"/>
      <w:marTop w:val="0"/>
      <w:marBottom w:val="0"/>
      <w:divBdr>
        <w:top w:val="none" w:sz="0" w:space="0" w:color="auto"/>
        <w:left w:val="none" w:sz="0" w:space="0" w:color="auto"/>
        <w:bottom w:val="none" w:sz="0" w:space="0" w:color="auto"/>
        <w:right w:val="none" w:sz="0" w:space="0" w:color="auto"/>
      </w:divBdr>
    </w:div>
    <w:div w:id="99496237">
      <w:bodyDiv w:val="1"/>
      <w:marLeft w:val="0"/>
      <w:marRight w:val="0"/>
      <w:marTop w:val="0"/>
      <w:marBottom w:val="0"/>
      <w:divBdr>
        <w:top w:val="none" w:sz="0" w:space="0" w:color="auto"/>
        <w:left w:val="none" w:sz="0" w:space="0" w:color="auto"/>
        <w:bottom w:val="none" w:sz="0" w:space="0" w:color="auto"/>
        <w:right w:val="none" w:sz="0" w:space="0" w:color="auto"/>
      </w:divBdr>
    </w:div>
    <w:div w:id="124785933">
      <w:bodyDiv w:val="1"/>
      <w:marLeft w:val="0"/>
      <w:marRight w:val="0"/>
      <w:marTop w:val="0"/>
      <w:marBottom w:val="0"/>
      <w:divBdr>
        <w:top w:val="none" w:sz="0" w:space="0" w:color="auto"/>
        <w:left w:val="none" w:sz="0" w:space="0" w:color="auto"/>
        <w:bottom w:val="none" w:sz="0" w:space="0" w:color="auto"/>
        <w:right w:val="none" w:sz="0" w:space="0" w:color="auto"/>
      </w:divBdr>
      <w:divsChild>
        <w:div w:id="785075646">
          <w:marLeft w:val="0"/>
          <w:marRight w:val="0"/>
          <w:marTop w:val="0"/>
          <w:marBottom w:val="120"/>
          <w:divBdr>
            <w:top w:val="none" w:sz="0" w:space="0" w:color="auto"/>
            <w:left w:val="none" w:sz="0" w:space="0" w:color="auto"/>
            <w:bottom w:val="none" w:sz="0" w:space="0" w:color="auto"/>
            <w:right w:val="none" w:sz="0" w:space="0" w:color="auto"/>
          </w:divBdr>
        </w:div>
      </w:divsChild>
    </w:div>
    <w:div w:id="140342677">
      <w:bodyDiv w:val="1"/>
      <w:marLeft w:val="0"/>
      <w:marRight w:val="0"/>
      <w:marTop w:val="0"/>
      <w:marBottom w:val="0"/>
      <w:divBdr>
        <w:top w:val="none" w:sz="0" w:space="0" w:color="auto"/>
        <w:left w:val="none" w:sz="0" w:space="0" w:color="auto"/>
        <w:bottom w:val="none" w:sz="0" w:space="0" w:color="auto"/>
        <w:right w:val="none" w:sz="0" w:space="0" w:color="auto"/>
      </w:divBdr>
    </w:div>
    <w:div w:id="150751727">
      <w:bodyDiv w:val="1"/>
      <w:marLeft w:val="0"/>
      <w:marRight w:val="0"/>
      <w:marTop w:val="0"/>
      <w:marBottom w:val="0"/>
      <w:divBdr>
        <w:top w:val="none" w:sz="0" w:space="0" w:color="auto"/>
        <w:left w:val="none" w:sz="0" w:space="0" w:color="auto"/>
        <w:bottom w:val="none" w:sz="0" w:space="0" w:color="auto"/>
        <w:right w:val="none" w:sz="0" w:space="0" w:color="auto"/>
      </w:divBdr>
    </w:div>
    <w:div w:id="154535595">
      <w:bodyDiv w:val="1"/>
      <w:marLeft w:val="0"/>
      <w:marRight w:val="0"/>
      <w:marTop w:val="0"/>
      <w:marBottom w:val="0"/>
      <w:divBdr>
        <w:top w:val="none" w:sz="0" w:space="0" w:color="auto"/>
        <w:left w:val="none" w:sz="0" w:space="0" w:color="auto"/>
        <w:bottom w:val="none" w:sz="0" w:space="0" w:color="auto"/>
        <w:right w:val="none" w:sz="0" w:space="0" w:color="auto"/>
      </w:divBdr>
    </w:div>
    <w:div w:id="165247457">
      <w:bodyDiv w:val="1"/>
      <w:marLeft w:val="0"/>
      <w:marRight w:val="0"/>
      <w:marTop w:val="0"/>
      <w:marBottom w:val="0"/>
      <w:divBdr>
        <w:top w:val="none" w:sz="0" w:space="0" w:color="auto"/>
        <w:left w:val="none" w:sz="0" w:space="0" w:color="auto"/>
        <w:bottom w:val="none" w:sz="0" w:space="0" w:color="auto"/>
        <w:right w:val="none" w:sz="0" w:space="0" w:color="auto"/>
      </w:divBdr>
    </w:div>
    <w:div w:id="174422594">
      <w:bodyDiv w:val="1"/>
      <w:marLeft w:val="0"/>
      <w:marRight w:val="0"/>
      <w:marTop w:val="0"/>
      <w:marBottom w:val="0"/>
      <w:divBdr>
        <w:top w:val="none" w:sz="0" w:space="0" w:color="auto"/>
        <w:left w:val="none" w:sz="0" w:space="0" w:color="auto"/>
        <w:bottom w:val="none" w:sz="0" w:space="0" w:color="auto"/>
        <w:right w:val="none" w:sz="0" w:space="0" w:color="auto"/>
      </w:divBdr>
    </w:div>
    <w:div w:id="187841004">
      <w:bodyDiv w:val="1"/>
      <w:marLeft w:val="0"/>
      <w:marRight w:val="0"/>
      <w:marTop w:val="0"/>
      <w:marBottom w:val="0"/>
      <w:divBdr>
        <w:top w:val="none" w:sz="0" w:space="0" w:color="auto"/>
        <w:left w:val="none" w:sz="0" w:space="0" w:color="auto"/>
        <w:bottom w:val="none" w:sz="0" w:space="0" w:color="auto"/>
        <w:right w:val="none" w:sz="0" w:space="0" w:color="auto"/>
      </w:divBdr>
    </w:div>
    <w:div w:id="188766466">
      <w:bodyDiv w:val="1"/>
      <w:marLeft w:val="0"/>
      <w:marRight w:val="0"/>
      <w:marTop w:val="0"/>
      <w:marBottom w:val="0"/>
      <w:divBdr>
        <w:top w:val="none" w:sz="0" w:space="0" w:color="auto"/>
        <w:left w:val="none" w:sz="0" w:space="0" w:color="auto"/>
        <w:bottom w:val="none" w:sz="0" w:space="0" w:color="auto"/>
        <w:right w:val="none" w:sz="0" w:space="0" w:color="auto"/>
      </w:divBdr>
    </w:div>
    <w:div w:id="203371343">
      <w:bodyDiv w:val="1"/>
      <w:marLeft w:val="0"/>
      <w:marRight w:val="0"/>
      <w:marTop w:val="0"/>
      <w:marBottom w:val="0"/>
      <w:divBdr>
        <w:top w:val="none" w:sz="0" w:space="0" w:color="auto"/>
        <w:left w:val="none" w:sz="0" w:space="0" w:color="auto"/>
        <w:bottom w:val="none" w:sz="0" w:space="0" w:color="auto"/>
        <w:right w:val="none" w:sz="0" w:space="0" w:color="auto"/>
      </w:divBdr>
      <w:divsChild>
        <w:div w:id="505479956">
          <w:marLeft w:val="0"/>
          <w:marRight w:val="0"/>
          <w:marTop w:val="0"/>
          <w:marBottom w:val="0"/>
          <w:divBdr>
            <w:top w:val="none" w:sz="0" w:space="0" w:color="auto"/>
            <w:left w:val="none" w:sz="0" w:space="0" w:color="auto"/>
            <w:bottom w:val="none" w:sz="0" w:space="0" w:color="auto"/>
            <w:right w:val="none" w:sz="0" w:space="0" w:color="auto"/>
          </w:divBdr>
        </w:div>
        <w:div w:id="646009746">
          <w:marLeft w:val="0"/>
          <w:marRight w:val="0"/>
          <w:marTop w:val="0"/>
          <w:marBottom w:val="0"/>
          <w:divBdr>
            <w:top w:val="none" w:sz="0" w:space="0" w:color="auto"/>
            <w:left w:val="none" w:sz="0" w:space="0" w:color="auto"/>
            <w:bottom w:val="none" w:sz="0" w:space="0" w:color="auto"/>
            <w:right w:val="none" w:sz="0" w:space="0" w:color="auto"/>
          </w:divBdr>
        </w:div>
        <w:div w:id="1041250566">
          <w:marLeft w:val="0"/>
          <w:marRight w:val="0"/>
          <w:marTop w:val="0"/>
          <w:marBottom w:val="0"/>
          <w:divBdr>
            <w:top w:val="none" w:sz="0" w:space="0" w:color="auto"/>
            <w:left w:val="none" w:sz="0" w:space="0" w:color="auto"/>
            <w:bottom w:val="none" w:sz="0" w:space="0" w:color="auto"/>
            <w:right w:val="none" w:sz="0" w:space="0" w:color="auto"/>
          </w:divBdr>
        </w:div>
      </w:divsChild>
    </w:div>
    <w:div w:id="205139696">
      <w:bodyDiv w:val="1"/>
      <w:marLeft w:val="0"/>
      <w:marRight w:val="0"/>
      <w:marTop w:val="0"/>
      <w:marBottom w:val="0"/>
      <w:divBdr>
        <w:top w:val="none" w:sz="0" w:space="0" w:color="auto"/>
        <w:left w:val="none" w:sz="0" w:space="0" w:color="auto"/>
        <w:bottom w:val="none" w:sz="0" w:space="0" w:color="auto"/>
        <w:right w:val="none" w:sz="0" w:space="0" w:color="auto"/>
      </w:divBdr>
    </w:div>
    <w:div w:id="205339832">
      <w:bodyDiv w:val="1"/>
      <w:marLeft w:val="0"/>
      <w:marRight w:val="0"/>
      <w:marTop w:val="0"/>
      <w:marBottom w:val="0"/>
      <w:divBdr>
        <w:top w:val="none" w:sz="0" w:space="0" w:color="auto"/>
        <w:left w:val="none" w:sz="0" w:space="0" w:color="auto"/>
        <w:bottom w:val="none" w:sz="0" w:space="0" w:color="auto"/>
        <w:right w:val="none" w:sz="0" w:space="0" w:color="auto"/>
      </w:divBdr>
    </w:div>
    <w:div w:id="237443790">
      <w:bodyDiv w:val="1"/>
      <w:marLeft w:val="0"/>
      <w:marRight w:val="0"/>
      <w:marTop w:val="0"/>
      <w:marBottom w:val="0"/>
      <w:divBdr>
        <w:top w:val="none" w:sz="0" w:space="0" w:color="auto"/>
        <w:left w:val="none" w:sz="0" w:space="0" w:color="auto"/>
        <w:bottom w:val="none" w:sz="0" w:space="0" w:color="auto"/>
        <w:right w:val="none" w:sz="0" w:space="0" w:color="auto"/>
      </w:divBdr>
    </w:div>
    <w:div w:id="243614433">
      <w:bodyDiv w:val="1"/>
      <w:marLeft w:val="0"/>
      <w:marRight w:val="0"/>
      <w:marTop w:val="0"/>
      <w:marBottom w:val="0"/>
      <w:divBdr>
        <w:top w:val="none" w:sz="0" w:space="0" w:color="auto"/>
        <w:left w:val="none" w:sz="0" w:space="0" w:color="auto"/>
        <w:bottom w:val="none" w:sz="0" w:space="0" w:color="auto"/>
        <w:right w:val="none" w:sz="0" w:space="0" w:color="auto"/>
      </w:divBdr>
    </w:div>
    <w:div w:id="253322282">
      <w:bodyDiv w:val="1"/>
      <w:marLeft w:val="0"/>
      <w:marRight w:val="0"/>
      <w:marTop w:val="0"/>
      <w:marBottom w:val="0"/>
      <w:divBdr>
        <w:top w:val="none" w:sz="0" w:space="0" w:color="auto"/>
        <w:left w:val="none" w:sz="0" w:space="0" w:color="auto"/>
        <w:bottom w:val="none" w:sz="0" w:space="0" w:color="auto"/>
        <w:right w:val="none" w:sz="0" w:space="0" w:color="auto"/>
      </w:divBdr>
      <w:divsChild>
        <w:div w:id="517545883">
          <w:marLeft w:val="0"/>
          <w:marRight w:val="0"/>
          <w:marTop w:val="0"/>
          <w:marBottom w:val="0"/>
          <w:divBdr>
            <w:top w:val="none" w:sz="0" w:space="0" w:color="auto"/>
            <w:left w:val="none" w:sz="0" w:space="0" w:color="auto"/>
            <w:bottom w:val="none" w:sz="0" w:space="0" w:color="auto"/>
            <w:right w:val="none" w:sz="0" w:space="0" w:color="auto"/>
          </w:divBdr>
          <w:divsChild>
            <w:div w:id="1663854797">
              <w:marLeft w:val="0"/>
              <w:marRight w:val="0"/>
              <w:marTop w:val="0"/>
              <w:marBottom w:val="0"/>
              <w:divBdr>
                <w:top w:val="none" w:sz="0" w:space="0" w:color="auto"/>
                <w:left w:val="none" w:sz="0" w:space="0" w:color="auto"/>
                <w:bottom w:val="none" w:sz="0" w:space="0" w:color="auto"/>
                <w:right w:val="none" w:sz="0" w:space="0" w:color="auto"/>
              </w:divBdr>
              <w:divsChild>
                <w:div w:id="722169639">
                  <w:marLeft w:val="0"/>
                  <w:marRight w:val="0"/>
                  <w:marTop w:val="0"/>
                  <w:marBottom w:val="0"/>
                  <w:divBdr>
                    <w:top w:val="single" w:sz="6" w:space="0" w:color="B0BEC5"/>
                    <w:left w:val="single" w:sz="6" w:space="0" w:color="B0BEC5"/>
                    <w:bottom w:val="single" w:sz="6" w:space="0" w:color="B0BEC5"/>
                    <w:right w:val="single" w:sz="6" w:space="0" w:color="B0BEC5"/>
                  </w:divBdr>
                </w:div>
              </w:divsChild>
            </w:div>
          </w:divsChild>
        </w:div>
        <w:div w:id="597640795">
          <w:marLeft w:val="0"/>
          <w:marRight w:val="0"/>
          <w:marTop w:val="0"/>
          <w:marBottom w:val="0"/>
          <w:divBdr>
            <w:top w:val="none" w:sz="0" w:space="0" w:color="auto"/>
            <w:left w:val="none" w:sz="0" w:space="0" w:color="auto"/>
            <w:bottom w:val="none" w:sz="0" w:space="0" w:color="auto"/>
            <w:right w:val="none" w:sz="0" w:space="0" w:color="auto"/>
          </w:divBdr>
        </w:div>
      </w:divsChild>
    </w:div>
    <w:div w:id="268322789">
      <w:bodyDiv w:val="1"/>
      <w:marLeft w:val="0"/>
      <w:marRight w:val="0"/>
      <w:marTop w:val="0"/>
      <w:marBottom w:val="0"/>
      <w:divBdr>
        <w:top w:val="none" w:sz="0" w:space="0" w:color="auto"/>
        <w:left w:val="none" w:sz="0" w:space="0" w:color="auto"/>
        <w:bottom w:val="none" w:sz="0" w:space="0" w:color="auto"/>
        <w:right w:val="none" w:sz="0" w:space="0" w:color="auto"/>
      </w:divBdr>
    </w:div>
    <w:div w:id="287250283">
      <w:bodyDiv w:val="1"/>
      <w:marLeft w:val="0"/>
      <w:marRight w:val="0"/>
      <w:marTop w:val="0"/>
      <w:marBottom w:val="0"/>
      <w:divBdr>
        <w:top w:val="none" w:sz="0" w:space="0" w:color="auto"/>
        <w:left w:val="none" w:sz="0" w:space="0" w:color="auto"/>
        <w:bottom w:val="none" w:sz="0" w:space="0" w:color="auto"/>
        <w:right w:val="none" w:sz="0" w:space="0" w:color="auto"/>
      </w:divBdr>
    </w:div>
    <w:div w:id="287704990">
      <w:bodyDiv w:val="1"/>
      <w:marLeft w:val="0"/>
      <w:marRight w:val="0"/>
      <w:marTop w:val="0"/>
      <w:marBottom w:val="0"/>
      <w:divBdr>
        <w:top w:val="none" w:sz="0" w:space="0" w:color="auto"/>
        <w:left w:val="none" w:sz="0" w:space="0" w:color="auto"/>
        <w:bottom w:val="none" w:sz="0" w:space="0" w:color="auto"/>
        <w:right w:val="none" w:sz="0" w:space="0" w:color="auto"/>
      </w:divBdr>
    </w:div>
    <w:div w:id="295765363">
      <w:bodyDiv w:val="1"/>
      <w:marLeft w:val="0"/>
      <w:marRight w:val="0"/>
      <w:marTop w:val="0"/>
      <w:marBottom w:val="0"/>
      <w:divBdr>
        <w:top w:val="none" w:sz="0" w:space="0" w:color="auto"/>
        <w:left w:val="none" w:sz="0" w:space="0" w:color="auto"/>
        <w:bottom w:val="none" w:sz="0" w:space="0" w:color="auto"/>
        <w:right w:val="none" w:sz="0" w:space="0" w:color="auto"/>
      </w:divBdr>
    </w:div>
    <w:div w:id="329524448">
      <w:bodyDiv w:val="1"/>
      <w:marLeft w:val="0"/>
      <w:marRight w:val="0"/>
      <w:marTop w:val="0"/>
      <w:marBottom w:val="0"/>
      <w:divBdr>
        <w:top w:val="none" w:sz="0" w:space="0" w:color="auto"/>
        <w:left w:val="none" w:sz="0" w:space="0" w:color="auto"/>
        <w:bottom w:val="none" w:sz="0" w:space="0" w:color="auto"/>
        <w:right w:val="none" w:sz="0" w:space="0" w:color="auto"/>
      </w:divBdr>
    </w:div>
    <w:div w:id="331226600">
      <w:bodyDiv w:val="1"/>
      <w:marLeft w:val="0"/>
      <w:marRight w:val="0"/>
      <w:marTop w:val="0"/>
      <w:marBottom w:val="0"/>
      <w:divBdr>
        <w:top w:val="none" w:sz="0" w:space="0" w:color="auto"/>
        <w:left w:val="none" w:sz="0" w:space="0" w:color="auto"/>
        <w:bottom w:val="none" w:sz="0" w:space="0" w:color="auto"/>
        <w:right w:val="none" w:sz="0" w:space="0" w:color="auto"/>
      </w:divBdr>
    </w:div>
    <w:div w:id="341587726">
      <w:bodyDiv w:val="1"/>
      <w:marLeft w:val="0"/>
      <w:marRight w:val="0"/>
      <w:marTop w:val="0"/>
      <w:marBottom w:val="0"/>
      <w:divBdr>
        <w:top w:val="none" w:sz="0" w:space="0" w:color="auto"/>
        <w:left w:val="none" w:sz="0" w:space="0" w:color="auto"/>
        <w:bottom w:val="none" w:sz="0" w:space="0" w:color="auto"/>
        <w:right w:val="none" w:sz="0" w:space="0" w:color="auto"/>
      </w:divBdr>
    </w:div>
    <w:div w:id="342826822">
      <w:bodyDiv w:val="1"/>
      <w:marLeft w:val="0"/>
      <w:marRight w:val="0"/>
      <w:marTop w:val="0"/>
      <w:marBottom w:val="0"/>
      <w:divBdr>
        <w:top w:val="none" w:sz="0" w:space="0" w:color="auto"/>
        <w:left w:val="none" w:sz="0" w:space="0" w:color="auto"/>
        <w:bottom w:val="none" w:sz="0" w:space="0" w:color="auto"/>
        <w:right w:val="none" w:sz="0" w:space="0" w:color="auto"/>
      </w:divBdr>
    </w:div>
    <w:div w:id="344525227">
      <w:bodyDiv w:val="1"/>
      <w:marLeft w:val="0"/>
      <w:marRight w:val="0"/>
      <w:marTop w:val="0"/>
      <w:marBottom w:val="0"/>
      <w:divBdr>
        <w:top w:val="none" w:sz="0" w:space="0" w:color="auto"/>
        <w:left w:val="none" w:sz="0" w:space="0" w:color="auto"/>
        <w:bottom w:val="none" w:sz="0" w:space="0" w:color="auto"/>
        <w:right w:val="none" w:sz="0" w:space="0" w:color="auto"/>
      </w:divBdr>
    </w:div>
    <w:div w:id="351495037">
      <w:bodyDiv w:val="1"/>
      <w:marLeft w:val="0"/>
      <w:marRight w:val="0"/>
      <w:marTop w:val="0"/>
      <w:marBottom w:val="0"/>
      <w:divBdr>
        <w:top w:val="none" w:sz="0" w:space="0" w:color="auto"/>
        <w:left w:val="none" w:sz="0" w:space="0" w:color="auto"/>
        <w:bottom w:val="none" w:sz="0" w:space="0" w:color="auto"/>
        <w:right w:val="none" w:sz="0" w:space="0" w:color="auto"/>
      </w:divBdr>
    </w:div>
    <w:div w:id="356277609">
      <w:bodyDiv w:val="1"/>
      <w:marLeft w:val="0"/>
      <w:marRight w:val="0"/>
      <w:marTop w:val="0"/>
      <w:marBottom w:val="0"/>
      <w:divBdr>
        <w:top w:val="none" w:sz="0" w:space="0" w:color="auto"/>
        <w:left w:val="none" w:sz="0" w:space="0" w:color="auto"/>
        <w:bottom w:val="none" w:sz="0" w:space="0" w:color="auto"/>
        <w:right w:val="none" w:sz="0" w:space="0" w:color="auto"/>
      </w:divBdr>
      <w:divsChild>
        <w:div w:id="514226055">
          <w:marLeft w:val="0"/>
          <w:marRight w:val="0"/>
          <w:marTop w:val="0"/>
          <w:marBottom w:val="120"/>
          <w:divBdr>
            <w:top w:val="none" w:sz="0" w:space="0" w:color="auto"/>
            <w:left w:val="none" w:sz="0" w:space="0" w:color="auto"/>
            <w:bottom w:val="none" w:sz="0" w:space="0" w:color="auto"/>
            <w:right w:val="none" w:sz="0" w:space="0" w:color="auto"/>
          </w:divBdr>
        </w:div>
      </w:divsChild>
    </w:div>
    <w:div w:id="357662339">
      <w:bodyDiv w:val="1"/>
      <w:marLeft w:val="0"/>
      <w:marRight w:val="0"/>
      <w:marTop w:val="0"/>
      <w:marBottom w:val="0"/>
      <w:divBdr>
        <w:top w:val="none" w:sz="0" w:space="0" w:color="auto"/>
        <w:left w:val="none" w:sz="0" w:space="0" w:color="auto"/>
        <w:bottom w:val="none" w:sz="0" w:space="0" w:color="auto"/>
        <w:right w:val="none" w:sz="0" w:space="0" w:color="auto"/>
      </w:divBdr>
    </w:div>
    <w:div w:id="382408010">
      <w:bodyDiv w:val="1"/>
      <w:marLeft w:val="0"/>
      <w:marRight w:val="0"/>
      <w:marTop w:val="0"/>
      <w:marBottom w:val="0"/>
      <w:divBdr>
        <w:top w:val="none" w:sz="0" w:space="0" w:color="auto"/>
        <w:left w:val="none" w:sz="0" w:space="0" w:color="auto"/>
        <w:bottom w:val="none" w:sz="0" w:space="0" w:color="auto"/>
        <w:right w:val="none" w:sz="0" w:space="0" w:color="auto"/>
      </w:divBdr>
    </w:div>
    <w:div w:id="391197070">
      <w:bodyDiv w:val="1"/>
      <w:marLeft w:val="0"/>
      <w:marRight w:val="0"/>
      <w:marTop w:val="0"/>
      <w:marBottom w:val="0"/>
      <w:divBdr>
        <w:top w:val="none" w:sz="0" w:space="0" w:color="auto"/>
        <w:left w:val="none" w:sz="0" w:space="0" w:color="auto"/>
        <w:bottom w:val="none" w:sz="0" w:space="0" w:color="auto"/>
        <w:right w:val="none" w:sz="0" w:space="0" w:color="auto"/>
      </w:divBdr>
    </w:div>
    <w:div w:id="404955300">
      <w:bodyDiv w:val="1"/>
      <w:marLeft w:val="0"/>
      <w:marRight w:val="0"/>
      <w:marTop w:val="0"/>
      <w:marBottom w:val="0"/>
      <w:divBdr>
        <w:top w:val="none" w:sz="0" w:space="0" w:color="auto"/>
        <w:left w:val="none" w:sz="0" w:space="0" w:color="auto"/>
        <w:bottom w:val="none" w:sz="0" w:space="0" w:color="auto"/>
        <w:right w:val="none" w:sz="0" w:space="0" w:color="auto"/>
      </w:divBdr>
    </w:div>
    <w:div w:id="406028108">
      <w:bodyDiv w:val="1"/>
      <w:marLeft w:val="0"/>
      <w:marRight w:val="0"/>
      <w:marTop w:val="0"/>
      <w:marBottom w:val="0"/>
      <w:divBdr>
        <w:top w:val="none" w:sz="0" w:space="0" w:color="auto"/>
        <w:left w:val="none" w:sz="0" w:space="0" w:color="auto"/>
        <w:bottom w:val="none" w:sz="0" w:space="0" w:color="auto"/>
        <w:right w:val="none" w:sz="0" w:space="0" w:color="auto"/>
      </w:divBdr>
    </w:div>
    <w:div w:id="417799776">
      <w:bodyDiv w:val="1"/>
      <w:marLeft w:val="0"/>
      <w:marRight w:val="0"/>
      <w:marTop w:val="0"/>
      <w:marBottom w:val="0"/>
      <w:divBdr>
        <w:top w:val="none" w:sz="0" w:space="0" w:color="auto"/>
        <w:left w:val="none" w:sz="0" w:space="0" w:color="auto"/>
        <w:bottom w:val="none" w:sz="0" w:space="0" w:color="auto"/>
        <w:right w:val="none" w:sz="0" w:space="0" w:color="auto"/>
      </w:divBdr>
      <w:divsChild>
        <w:div w:id="306713669">
          <w:marLeft w:val="0"/>
          <w:marRight w:val="0"/>
          <w:marTop w:val="0"/>
          <w:marBottom w:val="0"/>
          <w:divBdr>
            <w:top w:val="none" w:sz="0" w:space="0" w:color="auto"/>
            <w:left w:val="none" w:sz="0" w:space="0" w:color="auto"/>
            <w:bottom w:val="none" w:sz="0" w:space="0" w:color="auto"/>
            <w:right w:val="none" w:sz="0" w:space="0" w:color="auto"/>
          </w:divBdr>
          <w:divsChild>
            <w:div w:id="1963490446">
              <w:marLeft w:val="0"/>
              <w:marRight w:val="0"/>
              <w:marTop w:val="0"/>
              <w:marBottom w:val="0"/>
              <w:divBdr>
                <w:top w:val="none" w:sz="0" w:space="0" w:color="auto"/>
                <w:left w:val="none" w:sz="0" w:space="0" w:color="auto"/>
                <w:bottom w:val="none" w:sz="0" w:space="0" w:color="auto"/>
                <w:right w:val="none" w:sz="0" w:space="0" w:color="auto"/>
              </w:divBdr>
              <w:divsChild>
                <w:div w:id="104233655">
                  <w:marLeft w:val="0"/>
                  <w:marRight w:val="0"/>
                  <w:marTop w:val="0"/>
                  <w:marBottom w:val="0"/>
                  <w:divBdr>
                    <w:top w:val="single" w:sz="6" w:space="0" w:color="B0BEC5"/>
                    <w:left w:val="single" w:sz="6" w:space="0" w:color="B0BEC5"/>
                    <w:bottom w:val="single" w:sz="6" w:space="0" w:color="B0BEC5"/>
                    <w:right w:val="single" w:sz="6" w:space="0" w:color="B0BEC5"/>
                  </w:divBdr>
                </w:div>
              </w:divsChild>
            </w:div>
          </w:divsChild>
        </w:div>
        <w:div w:id="408698244">
          <w:marLeft w:val="0"/>
          <w:marRight w:val="0"/>
          <w:marTop w:val="0"/>
          <w:marBottom w:val="0"/>
          <w:divBdr>
            <w:top w:val="none" w:sz="0" w:space="0" w:color="auto"/>
            <w:left w:val="none" w:sz="0" w:space="0" w:color="auto"/>
            <w:bottom w:val="none" w:sz="0" w:space="0" w:color="auto"/>
            <w:right w:val="none" w:sz="0" w:space="0" w:color="auto"/>
          </w:divBdr>
        </w:div>
      </w:divsChild>
    </w:div>
    <w:div w:id="472798049">
      <w:bodyDiv w:val="1"/>
      <w:marLeft w:val="0"/>
      <w:marRight w:val="0"/>
      <w:marTop w:val="0"/>
      <w:marBottom w:val="0"/>
      <w:divBdr>
        <w:top w:val="none" w:sz="0" w:space="0" w:color="auto"/>
        <w:left w:val="none" w:sz="0" w:space="0" w:color="auto"/>
        <w:bottom w:val="none" w:sz="0" w:space="0" w:color="auto"/>
        <w:right w:val="none" w:sz="0" w:space="0" w:color="auto"/>
      </w:divBdr>
      <w:divsChild>
        <w:div w:id="30958977">
          <w:marLeft w:val="0"/>
          <w:marRight w:val="0"/>
          <w:marTop w:val="0"/>
          <w:marBottom w:val="0"/>
          <w:divBdr>
            <w:top w:val="none" w:sz="0" w:space="0" w:color="auto"/>
            <w:left w:val="none" w:sz="0" w:space="0" w:color="auto"/>
            <w:bottom w:val="none" w:sz="0" w:space="0" w:color="auto"/>
            <w:right w:val="none" w:sz="0" w:space="0" w:color="auto"/>
          </w:divBdr>
        </w:div>
        <w:div w:id="1811047608">
          <w:marLeft w:val="0"/>
          <w:marRight w:val="0"/>
          <w:marTop w:val="0"/>
          <w:marBottom w:val="0"/>
          <w:divBdr>
            <w:top w:val="none" w:sz="0" w:space="0" w:color="auto"/>
            <w:left w:val="none" w:sz="0" w:space="0" w:color="auto"/>
            <w:bottom w:val="none" w:sz="0" w:space="0" w:color="auto"/>
            <w:right w:val="none" w:sz="0" w:space="0" w:color="auto"/>
          </w:divBdr>
        </w:div>
      </w:divsChild>
    </w:div>
    <w:div w:id="491258445">
      <w:bodyDiv w:val="1"/>
      <w:marLeft w:val="0"/>
      <w:marRight w:val="0"/>
      <w:marTop w:val="0"/>
      <w:marBottom w:val="0"/>
      <w:divBdr>
        <w:top w:val="none" w:sz="0" w:space="0" w:color="auto"/>
        <w:left w:val="none" w:sz="0" w:space="0" w:color="auto"/>
        <w:bottom w:val="none" w:sz="0" w:space="0" w:color="auto"/>
        <w:right w:val="none" w:sz="0" w:space="0" w:color="auto"/>
      </w:divBdr>
      <w:divsChild>
        <w:div w:id="281231115">
          <w:marLeft w:val="0"/>
          <w:marRight w:val="0"/>
          <w:marTop w:val="150"/>
          <w:marBottom w:val="0"/>
          <w:divBdr>
            <w:top w:val="none" w:sz="0" w:space="0" w:color="auto"/>
            <w:left w:val="none" w:sz="0" w:space="0" w:color="auto"/>
            <w:bottom w:val="none" w:sz="0" w:space="0" w:color="auto"/>
            <w:right w:val="none" w:sz="0" w:space="0" w:color="auto"/>
          </w:divBdr>
        </w:div>
        <w:div w:id="1121072859">
          <w:marLeft w:val="0"/>
          <w:marRight w:val="0"/>
          <w:marTop w:val="0"/>
          <w:marBottom w:val="0"/>
          <w:divBdr>
            <w:top w:val="none" w:sz="0" w:space="0" w:color="auto"/>
            <w:left w:val="none" w:sz="0" w:space="0" w:color="auto"/>
            <w:bottom w:val="none" w:sz="0" w:space="0" w:color="auto"/>
            <w:right w:val="none" w:sz="0" w:space="0" w:color="auto"/>
          </w:divBdr>
        </w:div>
      </w:divsChild>
    </w:div>
    <w:div w:id="520584162">
      <w:bodyDiv w:val="1"/>
      <w:marLeft w:val="0"/>
      <w:marRight w:val="0"/>
      <w:marTop w:val="0"/>
      <w:marBottom w:val="0"/>
      <w:divBdr>
        <w:top w:val="none" w:sz="0" w:space="0" w:color="auto"/>
        <w:left w:val="none" w:sz="0" w:space="0" w:color="auto"/>
        <w:bottom w:val="none" w:sz="0" w:space="0" w:color="auto"/>
        <w:right w:val="none" w:sz="0" w:space="0" w:color="auto"/>
      </w:divBdr>
    </w:div>
    <w:div w:id="523710895">
      <w:bodyDiv w:val="1"/>
      <w:marLeft w:val="0"/>
      <w:marRight w:val="0"/>
      <w:marTop w:val="0"/>
      <w:marBottom w:val="0"/>
      <w:divBdr>
        <w:top w:val="none" w:sz="0" w:space="0" w:color="auto"/>
        <w:left w:val="none" w:sz="0" w:space="0" w:color="auto"/>
        <w:bottom w:val="none" w:sz="0" w:space="0" w:color="auto"/>
        <w:right w:val="none" w:sz="0" w:space="0" w:color="auto"/>
      </w:divBdr>
      <w:divsChild>
        <w:div w:id="393243547">
          <w:marLeft w:val="0"/>
          <w:marRight w:val="0"/>
          <w:marTop w:val="0"/>
          <w:marBottom w:val="0"/>
          <w:divBdr>
            <w:top w:val="none" w:sz="0" w:space="0" w:color="auto"/>
            <w:left w:val="none" w:sz="0" w:space="0" w:color="auto"/>
            <w:bottom w:val="none" w:sz="0" w:space="0" w:color="auto"/>
            <w:right w:val="none" w:sz="0" w:space="0" w:color="auto"/>
          </w:divBdr>
          <w:divsChild>
            <w:div w:id="34350333">
              <w:marLeft w:val="0"/>
              <w:marRight w:val="0"/>
              <w:marTop w:val="0"/>
              <w:marBottom w:val="0"/>
              <w:divBdr>
                <w:top w:val="none" w:sz="0" w:space="0" w:color="auto"/>
                <w:left w:val="none" w:sz="0" w:space="0" w:color="auto"/>
                <w:bottom w:val="none" w:sz="0" w:space="0" w:color="auto"/>
                <w:right w:val="none" w:sz="0" w:space="0" w:color="auto"/>
              </w:divBdr>
            </w:div>
          </w:divsChild>
        </w:div>
        <w:div w:id="1072046296">
          <w:marLeft w:val="0"/>
          <w:marRight w:val="0"/>
          <w:marTop w:val="0"/>
          <w:marBottom w:val="0"/>
          <w:divBdr>
            <w:top w:val="none" w:sz="0" w:space="0" w:color="auto"/>
            <w:left w:val="none" w:sz="0" w:space="0" w:color="auto"/>
            <w:bottom w:val="none" w:sz="0" w:space="0" w:color="auto"/>
            <w:right w:val="none" w:sz="0" w:space="0" w:color="auto"/>
          </w:divBdr>
          <w:divsChild>
            <w:div w:id="844515034">
              <w:marLeft w:val="0"/>
              <w:marRight w:val="0"/>
              <w:marTop w:val="0"/>
              <w:marBottom w:val="0"/>
              <w:divBdr>
                <w:top w:val="none" w:sz="0" w:space="0" w:color="auto"/>
                <w:left w:val="none" w:sz="0" w:space="0" w:color="auto"/>
                <w:bottom w:val="single" w:sz="6" w:space="0" w:color="B0BEC5"/>
                <w:right w:val="none" w:sz="0" w:space="0" w:color="auto"/>
              </w:divBdr>
            </w:div>
          </w:divsChild>
        </w:div>
      </w:divsChild>
    </w:div>
    <w:div w:id="531302961">
      <w:bodyDiv w:val="1"/>
      <w:marLeft w:val="0"/>
      <w:marRight w:val="0"/>
      <w:marTop w:val="0"/>
      <w:marBottom w:val="0"/>
      <w:divBdr>
        <w:top w:val="none" w:sz="0" w:space="0" w:color="auto"/>
        <w:left w:val="none" w:sz="0" w:space="0" w:color="auto"/>
        <w:bottom w:val="none" w:sz="0" w:space="0" w:color="auto"/>
        <w:right w:val="none" w:sz="0" w:space="0" w:color="auto"/>
      </w:divBdr>
    </w:div>
    <w:div w:id="539783976">
      <w:bodyDiv w:val="1"/>
      <w:marLeft w:val="0"/>
      <w:marRight w:val="0"/>
      <w:marTop w:val="0"/>
      <w:marBottom w:val="0"/>
      <w:divBdr>
        <w:top w:val="none" w:sz="0" w:space="0" w:color="auto"/>
        <w:left w:val="none" w:sz="0" w:space="0" w:color="auto"/>
        <w:bottom w:val="none" w:sz="0" w:space="0" w:color="auto"/>
        <w:right w:val="none" w:sz="0" w:space="0" w:color="auto"/>
      </w:divBdr>
      <w:divsChild>
        <w:div w:id="562259606">
          <w:marLeft w:val="0"/>
          <w:marRight w:val="0"/>
          <w:marTop w:val="0"/>
          <w:marBottom w:val="0"/>
          <w:divBdr>
            <w:top w:val="none" w:sz="0" w:space="0" w:color="auto"/>
            <w:left w:val="none" w:sz="0" w:space="0" w:color="auto"/>
            <w:bottom w:val="none" w:sz="0" w:space="0" w:color="auto"/>
            <w:right w:val="none" w:sz="0" w:space="0" w:color="auto"/>
          </w:divBdr>
          <w:divsChild>
            <w:div w:id="10920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63197">
      <w:bodyDiv w:val="1"/>
      <w:marLeft w:val="0"/>
      <w:marRight w:val="0"/>
      <w:marTop w:val="0"/>
      <w:marBottom w:val="0"/>
      <w:divBdr>
        <w:top w:val="none" w:sz="0" w:space="0" w:color="auto"/>
        <w:left w:val="none" w:sz="0" w:space="0" w:color="auto"/>
        <w:bottom w:val="none" w:sz="0" w:space="0" w:color="auto"/>
        <w:right w:val="none" w:sz="0" w:space="0" w:color="auto"/>
      </w:divBdr>
    </w:div>
    <w:div w:id="559093178">
      <w:bodyDiv w:val="1"/>
      <w:marLeft w:val="0"/>
      <w:marRight w:val="0"/>
      <w:marTop w:val="0"/>
      <w:marBottom w:val="0"/>
      <w:divBdr>
        <w:top w:val="none" w:sz="0" w:space="0" w:color="auto"/>
        <w:left w:val="none" w:sz="0" w:space="0" w:color="auto"/>
        <w:bottom w:val="none" w:sz="0" w:space="0" w:color="auto"/>
        <w:right w:val="none" w:sz="0" w:space="0" w:color="auto"/>
      </w:divBdr>
    </w:div>
    <w:div w:id="600912503">
      <w:bodyDiv w:val="1"/>
      <w:marLeft w:val="0"/>
      <w:marRight w:val="0"/>
      <w:marTop w:val="0"/>
      <w:marBottom w:val="0"/>
      <w:divBdr>
        <w:top w:val="none" w:sz="0" w:space="0" w:color="auto"/>
        <w:left w:val="none" w:sz="0" w:space="0" w:color="auto"/>
        <w:bottom w:val="none" w:sz="0" w:space="0" w:color="auto"/>
        <w:right w:val="none" w:sz="0" w:space="0" w:color="auto"/>
      </w:divBdr>
    </w:div>
    <w:div w:id="612174186">
      <w:bodyDiv w:val="1"/>
      <w:marLeft w:val="0"/>
      <w:marRight w:val="0"/>
      <w:marTop w:val="0"/>
      <w:marBottom w:val="0"/>
      <w:divBdr>
        <w:top w:val="none" w:sz="0" w:space="0" w:color="auto"/>
        <w:left w:val="none" w:sz="0" w:space="0" w:color="auto"/>
        <w:bottom w:val="none" w:sz="0" w:space="0" w:color="auto"/>
        <w:right w:val="none" w:sz="0" w:space="0" w:color="auto"/>
      </w:divBdr>
    </w:div>
    <w:div w:id="619609409">
      <w:bodyDiv w:val="1"/>
      <w:marLeft w:val="0"/>
      <w:marRight w:val="0"/>
      <w:marTop w:val="0"/>
      <w:marBottom w:val="0"/>
      <w:divBdr>
        <w:top w:val="none" w:sz="0" w:space="0" w:color="auto"/>
        <w:left w:val="none" w:sz="0" w:space="0" w:color="auto"/>
        <w:bottom w:val="none" w:sz="0" w:space="0" w:color="auto"/>
        <w:right w:val="none" w:sz="0" w:space="0" w:color="auto"/>
      </w:divBdr>
    </w:div>
    <w:div w:id="621768863">
      <w:bodyDiv w:val="1"/>
      <w:marLeft w:val="0"/>
      <w:marRight w:val="0"/>
      <w:marTop w:val="0"/>
      <w:marBottom w:val="0"/>
      <w:divBdr>
        <w:top w:val="none" w:sz="0" w:space="0" w:color="auto"/>
        <w:left w:val="none" w:sz="0" w:space="0" w:color="auto"/>
        <w:bottom w:val="none" w:sz="0" w:space="0" w:color="auto"/>
        <w:right w:val="none" w:sz="0" w:space="0" w:color="auto"/>
      </w:divBdr>
    </w:div>
    <w:div w:id="638074052">
      <w:bodyDiv w:val="1"/>
      <w:marLeft w:val="0"/>
      <w:marRight w:val="0"/>
      <w:marTop w:val="0"/>
      <w:marBottom w:val="0"/>
      <w:divBdr>
        <w:top w:val="none" w:sz="0" w:space="0" w:color="auto"/>
        <w:left w:val="none" w:sz="0" w:space="0" w:color="auto"/>
        <w:bottom w:val="none" w:sz="0" w:space="0" w:color="auto"/>
        <w:right w:val="none" w:sz="0" w:space="0" w:color="auto"/>
      </w:divBdr>
      <w:divsChild>
        <w:div w:id="1101409775">
          <w:marLeft w:val="0"/>
          <w:marRight w:val="0"/>
          <w:marTop w:val="0"/>
          <w:marBottom w:val="0"/>
          <w:divBdr>
            <w:top w:val="none" w:sz="0" w:space="0" w:color="auto"/>
            <w:left w:val="none" w:sz="0" w:space="0" w:color="auto"/>
            <w:bottom w:val="none" w:sz="0" w:space="0" w:color="auto"/>
            <w:right w:val="none" w:sz="0" w:space="0" w:color="auto"/>
          </w:divBdr>
        </w:div>
      </w:divsChild>
    </w:div>
    <w:div w:id="650445531">
      <w:bodyDiv w:val="1"/>
      <w:marLeft w:val="0"/>
      <w:marRight w:val="0"/>
      <w:marTop w:val="0"/>
      <w:marBottom w:val="0"/>
      <w:divBdr>
        <w:top w:val="none" w:sz="0" w:space="0" w:color="auto"/>
        <w:left w:val="none" w:sz="0" w:space="0" w:color="auto"/>
        <w:bottom w:val="none" w:sz="0" w:space="0" w:color="auto"/>
        <w:right w:val="none" w:sz="0" w:space="0" w:color="auto"/>
      </w:divBdr>
    </w:div>
    <w:div w:id="654266043">
      <w:bodyDiv w:val="1"/>
      <w:marLeft w:val="0"/>
      <w:marRight w:val="0"/>
      <w:marTop w:val="0"/>
      <w:marBottom w:val="0"/>
      <w:divBdr>
        <w:top w:val="none" w:sz="0" w:space="0" w:color="auto"/>
        <w:left w:val="none" w:sz="0" w:space="0" w:color="auto"/>
        <w:bottom w:val="none" w:sz="0" w:space="0" w:color="auto"/>
        <w:right w:val="none" w:sz="0" w:space="0" w:color="auto"/>
      </w:divBdr>
    </w:div>
    <w:div w:id="662046215">
      <w:bodyDiv w:val="1"/>
      <w:marLeft w:val="0"/>
      <w:marRight w:val="0"/>
      <w:marTop w:val="0"/>
      <w:marBottom w:val="0"/>
      <w:divBdr>
        <w:top w:val="none" w:sz="0" w:space="0" w:color="auto"/>
        <w:left w:val="none" w:sz="0" w:space="0" w:color="auto"/>
        <w:bottom w:val="none" w:sz="0" w:space="0" w:color="auto"/>
        <w:right w:val="none" w:sz="0" w:space="0" w:color="auto"/>
      </w:divBdr>
    </w:div>
    <w:div w:id="673605505">
      <w:bodyDiv w:val="1"/>
      <w:marLeft w:val="0"/>
      <w:marRight w:val="0"/>
      <w:marTop w:val="0"/>
      <w:marBottom w:val="0"/>
      <w:divBdr>
        <w:top w:val="none" w:sz="0" w:space="0" w:color="auto"/>
        <w:left w:val="none" w:sz="0" w:space="0" w:color="auto"/>
        <w:bottom w:val="none" w:sz="0" w:space="0" w:color="auto"/>
        <w:right w:val="none" w:sz="0" w:space="0" w:color="auto"/>
      </w:divBdr>
    </w:div>
    <w:div w:id="680011955">
      <w:bodyDiv w:val="1"/>
      <w:marLeft w:val="0"/>
      <w:marRight w:val="0"/>
      <w:marTop w:val="0"/>
      <w:marBottom w:val="0"/>
      <w:divBdr>
        <w:top w:val="none" w:sz="0" w:space="0" w:color="auto"/>
        <w:left w:val="none" w:sz="0" w:space="0" w:color="auto"/>
        <w:bottom w:val="none" w:sz="0" w:space="0" w:color="auto"/>
        <w:right w:val="none" w:sz="0" w:space="0" w:color="auto"/>
      </w:divBdr>
    </w:div>
    <w:div w:id="683046436">
      <w:bodyDiv w:val="1"/>
      <w:marLeft w:val="0"/>
      <w:marRight w:val="0"/>
      <w:marTop w:val="0"/>
      <w:marBottom w:val="0"/>
      <w:divBdr>
        <w:top w:val="none" w:sz="0" w:space="0" w:color="auto"/>
        <w:left w:val="none" w:sz="0" w:space="0" w:color="auto"/>
        <w:bottom w:val="none" w:sz="0" w:space="0" w:color="auto"/>
        <w:right w:val="none" w:sz="0" w:space="0" w:color="auto"/>
      </w:divBdr>
    </w:div>
    <w:div w:id="704982049">
      <w:bodyDiv w:val="1"/>
      <w:marLeft w:val="0"/>
      <w:marRight w:val="0"/>
      <w:marTop w:val="0"/>
      <w:marBottom w:val="0"/>
      <w:divBdr>
        <w:top w:val="none" w:sz="0" w:space="0" w:color="auto"/>
        <w:left w:val="none" w:sz="0" w:space="0" w:color="auto"/>
        <w:bottom w:val="none" w:sz="0" w:space="0" w:color="auto"/>
        <w:right w:val="none" w:sz="0" w:space="0" w:color="auto"/>
      </w:divBdr>
    </w:div>
    <w:div w:id="732393726">
      <w:bodyDiv w:val="1"/>
      <w:marLeft w:val="0"/>
      <w:marRight w:val="0"/>
      <w:marTop w:val="0"/>
      <w:marBottom w:val="0"/>
      <w:divBdr>
        <w:top w:val="none" w:sz="0" w:space="0" w:color="auto"/>
        <w:left w:val="none" w:sz="0" w:space="0" w:color="auto"/>
        <w:bottom w:val="none" w:sz="0" w:space="0" w:color="auto"/>
        <w:right w:val="none" w:sz="0" w:space="0" w:color="auto"/>
      </w:divBdr>
    </w:div>
    <w:div w:id="738479703">
      <w:bodyDiv w:val="1"/>
      <w:marLeft w:val="0"/>
      <w:marRight w:val="0"/>
      <w:marTop w:val="0"/>
      <w:marBottom w:val="0"/>
      <w:divBdr>
        <w:top w:val="none" w:sz="0" w:space="0" w:color="auto"/>
        <w:left w:val="none" w:sz="0" w:space="0" w:color="auto"/>
        <w:bottom w:val="none" w:sz="0" w:space="0" w:color="auto"/>
        <w:right w:val="none" w:sz="0" w:space="0" w:color="auto"/>
      </w:divBdr>
    </w:div>
    <w:div w:id="762187535">
      <w:bodyDiv w:val="1"/>
      <w:marLeft w:val="0"/>
      <w:marRight w:val="0"/>
      <w:marTop w:val="0"/>
      <w:marBottom w:val="0"/>
      <w:divBdr>
        <w:top w:val="none" w:sz="0" w:space="0" w:color="auto"/>
        <w:left w:val="none" w:sz="0" w:space="0" w:color="auto"/>
        <w:bottom w:val="none" w:sz="0" w:space="0" w:color="auto"/>
        <w:right w:val="none" w:sz="0" w:space="0" w:color="auto"/>
      </w:divBdr>
      <w:divsChild>
        <w:div w:id="1523544046">
          <w:marLeft w:val="0"/>
          <w:marRight w:val="0"/>
          <w:marTop w:val="0"/>
          <w:marBottom w:val="120"/>
          <w:divBdr>
            <w:top w:val="none" w:sz="0" w:space="0" w:color="auto"/>
            <w:left w:val="none" w:sz="0" w:space="0" w:color="auto"/>
            <w:bottom w:val="none" w:sz="0" w:space="0" w:color="auto"/>
            <w:right w:val="none" w:sz="0" w:space="0" w:color="auto"/>
          </w:divBdr>
        </w:div>
      </w:divsChild>
    </w:div>
    <w:div w:id="779380493">
      <w:bodyDiv w:val="1"/>
      <w:marLeft w:val="0"/>
      <w:marRight w:val="0"/>
      <w:marTop w:val="0"/>
      <w:marBottom w:val="0"/>
      <w:divBdr>
        <w:top w:val="none" w:sz="0" w:space="0" w:color="auto"/>
        <w:left w:val="none" w:sz="0" w:space="0" w:color="auto"/>
        <w:bottom w:val="none" w:sz="0" w:space="0" w:color="auto"/>
        <w:right w:val="none" w:sz="0" w:space="0" w:color="auto"/>
      </w:divBdr>
    </w:div>
    <w:div w:id="787165160">
      <w:bodyDiv w:val="1"/>
      <w:marLeft w:val="0"/>
      <w:marRight w:val="0"/>
      <w:marTop w:val="0"/>
      <w:marBottom w:val="0"/>
      <w:divBdr>
        <w:top w:val="none" w:sz="0" w:space="0" w:color="auto"/>
        <w:left w:val="none" w:sz="0" w:space="0" w:color="auto"/>
        <w:bottom w:val="none" w:sz="0" w:space="0" w:color="auto"/>
        <w:right w:val="none" w:sz="0" w:space="0" w:color="auto"/>
      </w:divBdr>
    </w:div>
    <w:div w:id="789861691">
      <w:bodyDiv w:val="1"/>
      <w:marLeft w:val="0"/>
      <w:marRight w:val="0"/>
      <w:marTop w:val="0"/>
      <w:marBottom w:val="0"/>
      <w:divBdr>
        <w:top w:val="none" w:sz="0" w:space="0" w:color="auto"/>
        <w:left w:val="none" w:sz="0" w:space="0" w:color="auto"/>
        <w:bottom w:val="none" w:sz="0" w:space="0" w:color="auto"/>
        <w:right w:val="none" w:sz="0" w:space="0" w:color="auto"/>
      </w:divBdr>
    </w:div>
    <w:div w:id="804277208">
      <w:bodyDiv w:val="1"/>
      <w:marLeft w:val="0"/>
      <w:marRight w:val="0"/>
      <w:marTop w:val="0"/>
      <w:marBottom w:val="0"/>
      <w:divBdr>
        <w:top w:val="none" w:sz="0" w:space="0" w:color="auto"/>
        <w:left w:val="none" w:sz="0" w:space="0" w:color="auto"/>
        <w:bottom w:val="none" w:sz="0" w:space="0" w:color="auto"/>
        <w:right w:val="none" w:sz="0" w:space="0" w:color="auto"/>
      </w:divBdr>
    </w:div>
    <w:div w:id="819659159">
      <w:bodyDiv w:val="1"/>
      <w:marLeft w:val="0"/>
      <w:marRight w:val="0"/>
      <w:marTop w:val="0"/>
      <w:marBottom w:val="0"/>
      <w:divBdr>
        <w:top w:val="none" w:sz="0" w:space="0" w:color="auto"/>
        <w:left w:val="none" w:sz="0" w:space="0" w:color="auto"/>
        <w:bottom w:val="none" w:sz="0" w:space="0" w:color="auto"/>
        <w:right w:val="none" w:sz="0" w:space="0" w:color="auto"/>
      </w:divBdr>
    </w:div>
    <w:div w:id="825709395">
      <w:bodyDiv w:val="1"/>
      <w:marLeft w:val="0"/>
      <w:marRight w:val="0"/>
      <w:marTop w:val="0"/>
      <w:marBottom w:val="0"/>
      <w:divBdr>
        <w:top w:val="none" w:sz="0" w:space="0" w:color="auto"/>
        <w:left w:val="none" w:sz="0" w:space="0" w:color="auto"/>
        <w:bottom w:val="none" w:sz="0" w:space="0" w:color="auto"/>
        <w:right w:val="none" w:sz="0" w:space="0" w:color="auto"/>
      </w:divBdr>
    </w:div>
    <w:div w:id="845360114">
      <w:bodyDiv w:val="1"/>
      <w:marLeft w:val="0"/>
      <w:marRight w:val="0"/>
      <w:marTop w:val="0"/>
      <w:marBottom w:val="0"/>
      <w:divBdr>
        <w:top w:val="none" w:sz="0" w:space="0" w:color="auto"/>
        <w:left w:val="none" w:sz="0" w:space="0" w:color="auto"/>
        <w:bottom w:val="none" w:sz="0" w:space="0" w:color="auto"/>
        <w:right w:val="none" w:sz="0" w:space="0" w:color="auto"/>
      </w:divBdr>
    </w:div>
    <w:div w:id="845905420">
      <w:bodyDiv w:val="1"/>
      <w:marLeft w:val="0"/>
      <w:marRight w:val="0"/>
      <w:marTop w:val="0"/>
      <w:marBottom w:val="0"/>
      <w:divBdr>
        <w:top w:val="none" w:sz="0" w:space="0" w:color="auto"/>
        <w:left w:val="none" w:sz="0" w:space="0" w:color="auto"/>
        <w:bottom w:val="none" w:sz="0" w:space="0" w:color="auto"/>
        <w:right w:val="none" w:sz="0" w:space="0" w:color="auto"/>
      </w:divBdr>
      <w:divsChild>
        <w:div w:id="1122845815">
          <w:marLeft w:val="0"/>
          <w:marRight w:val="0"/>
          <w:marTop w:val="0"/>
          <w:marBottom w:val="120"/>
          <w:divBdr>
            <w:top w:val="none" w:sz="0" w:space="0" w:color="auto"/>
            <w:left w:val="none" w:sz="0" w:space="0" w:color="auto"/>
            <w:bottom w:val="none" w:sz="0" w:space="0" w:color="auto"/>
            <w:right w:val="none" w:sz="0" w:space="0" w:color="auto"/>
          </w:divBdr>
        </w:div>
      </w:divsChild>
    </w:div>
    <w:div w:id="871453216">
      <w:bodyDiv w:val="1"/>
      <w:marLeft w:val="0"/>
      <w:marRight w:val="0"/>
      <w:marTop w:val="0"/>
      <w:marBottom w:val="0"/>
      <w:divBdr>
        <w:top w:val="none" w:sz="0" w:space="0" w:color="auto"/>
        <w:left w:val="none" w:sz="0" w:space="0" w:color="auto"/>
        <w:bottom w:val="none" w:sz="0" w:space="0" w:color="auto"/>
        <w:right w:val="none" w:sz="0" w:space="0" w:color="auto"/>
      </w:divBdr>
    </w:div>
    <w:div w:id="871921208">
      <w:bodyDiv w:val="1"/>
      <w:marLeft w:val="0"/>
      <w:marRight w:val="0"/>
      <w:marTop w:val="0"/>
      <w:marBottom w:val="0"/>
      <w:divBdr>
        <w:top w:val="none" w:sz="0" w:space="0" w:color="auto"/>
        <w:left w:val="none" w:sz="0" w:space="0" w:color="auto"/>
        <w:bottom w:val="none" w:sz="0" w:space="0" w:color="auto"/>
        <w:right w:val="none" w:sz="0" w:space="0" w:color="auto"/>
      </w:divBdr>
    </w:div>
    <w:div w:id="888030816">
      <w:bodyDiv w:val="1"/>
      <w:marLeft w:val="0"/>
      <w:marRight w:val="0"/>
      <w:marTop w:val="0"/>
      <w:marBottom w:val="0"/>
      <w:divBdr>
        <w:top w:val="none" w:sz="0" w:space="0" w:color="auto"/>
        <w:left w:val="none" w:sz="0" w:space="0" w:color="auto"/>
        <w:bottom w:val="none" w:sz="0" w:space="0" w:color="auto"/>
        <w:right w:val="none" w:sz="0" w:space="0" w:color="auto"/>
      </w:divBdr>
    </w:div>
    <w:div w:id="912080661">
      <w:bodyDiv w:val="1"/>
      <w:marLeft w:val="0"/>
      <w:marRight w:val="0"/>
      <w:marTop w:val="0"/>
      <w:marBottom w:val="0"/>
      <w:divBdr>
        <w:top w:val="none" w:sz="0" w:space="0" w:color="auto"/>
        <w:left w:val="none" w:sz="0" w:space="0" w:color="auto"/>
        <w:bottom w:val="none" w:sz="0" w:space="0" w:color="auto"/>
        <w:right w:val="none" w:sz="0" w:space="0" w:color="auto"/>
      </w:divBdr>
    </w:div>
    <w:div w:id="919827763">
      <w:bodyDiv w:val="1"/>
      <w:marLeft w:val="0"/>
      <w:marRight w:val="0"/>
      <w:marTop w:val="0"/>
      <w:marBottom w:val="0"/>
      <w:divBdr>
        <w:top w:val="none" w:sz="0" w:space="0" w:color="auto"/>
        <w:left w:val="none" w:sz="0" w:space="0" w:color="auto"/>
        <w:bottom w:val="none" w:sz="0" w:space="0" w:color="auto"/>
        <w:right w:val="none" w:sz="0" w:space="0" w:color="auto"/>
      </w:divBdr>
    </w:div>
    <w:div w:id="972246913">
      <w:bodyDiv w:val="1"/>
      <w:marLeft w:val="0"/>
      <w:marRight w:val="0"/>
      <w:marTop w:val="0"/>
      <w:marBottom w:val="0"/>
      <w:divBdr>
        <w:top w:val="none" w:sz="0" w:space="0" w:color="auto"/>
        <w:left w:val="none" w:sz="0" w:space="0" w:color="auto"/>
        <w:bottom w:val="none" w:sz="0" w:space="0" w:color="auto"/>
        <w:right w:val="none" w:sz="0" w:space="0" w:color="auto"/>
      </w:divBdr>
    </w:div>
    <w:div w:id="991788101">
      <w:bodyDiv w:val="1"/>
      <w:marLeft w:val="0"/>
      <w:marRight w:val="0"/>
      <w:marTop w:val="0"/>
      <w:marBottom w:val="0"/>
      <w:divBdr>
        <w:top w:val="none" w:sz="0" w:space="0" w:color="auto"/>
        <w:left w:val="none" w:sz="0" w:space="0" w:color="auto"/>
        <w:bottom w:val="none" w:sz="0" w:space="0" w:color="auto"/>
        <w:right w:val="none" w:sz="0" w:space="0" w:color="auto"/>
      </w:divBdr>
    </w:div>
    <w:div w:id="1032151049">
      <w:bodyDiv w:val="1"/>
      <w:marLeft w:val="0"/>
      <w:marRight w:val="0"/>
      <w:marTop w:val="0"/>
      <w:marBottom w:val="0"/>
      <w:divBdr>
        <w:top w:val="none" w:sz="0" w:space="0" w:color="auto"/>
        <w:left w:val="none" w:sz="0" w:space="0" w:color="auto"/>
        <w:bottom w:val="none" w:sz="0" w:space="0" w:color="auto"/>
        <w:right w:val="none" w:sz="0" w:space="0" w:color="auto"/>
      </w:divBdr>
    </w:div>
    <w:div w:id="1039477213">
      <w:bodyDiv w:val="1"/>
      <w:marLeft w:val="0"/>
      <w:marRight w:val="0"/>
      <w:marTop w:val="0"/>
      <w:marBottom w:val="0"/>
      <w:divBdr>
        <w:top w:val="none" w:sz="0" w:space="0" w:color="auto"/>
        <w:left w:val="none" w:sz="0" w:space="0" w:color="auto"/>
        <w:bottom w:val="none" w:sz="0" w:space="0" w:color="auto"/>
        <w:right w:val="none" w:sz="0" w:space="0" w:color="auto"/>
      </w:divBdr>
    </w:div>
    <w:div w:id="1054084366">
      <w:bodyDiv w:val="1"/>
      <w:marLeft w:val="0"/>
      <w:marRight w:val="0"/>
      <w:marTop w:val="0"/>
      <w:marBottom w:val="0"/>
      <w:divBdr>
        <w:top w:val="none" w:sz="0" w:space="0" w:color="auto"/>
        <w:left w:val="none" w:sz="0" w:space="0" w:color="auto"/>
        <w:bottom w:val="none" w:sz="0" w:space="0" w:color="auto"/>
        <w:right w:val="none" w:sz="0" w:space="0" w:color="auto"/>
      </w:divBdr>
    </w:div>
    <w:div w:id="1073699753">
      <w:bodyDiv w:val="1"/>
      <w:marLeft w:val="0"/>
      <w:marRight w:val="0"/>
      <w:marTop w:val="0"/>
      <w:marBottom w:val="0"/>
      <w:divBdr>
        <w:top w:val="none" w:sz="0" w:space="0" w:color="auto"/>
        <w:left w:val="none" w:sz="0" w:space="0" w:color="auto"/>
        <w:bottom w:val="none" w:sz="0" w:space="0" w:color="auto"/>
        <w:right w:val="none" w:sz="0" w:space="0" w:color="auto"/>
      </w:divBdr>
    </w:div>
    <w:div w:id="1089623100">
      <w:bodyDiv w:val="1"/>
      <w:marLeft w:val="0"/>
      <w:marRight w:val="0"/>
      <w:marTop w:val="0"/>
      <w:marBottom w:val="0"/>
      <w:divBdr>
        <w:top w:val="none" w:sz="0" w:space="0" w:color="auto"/>
        <w:left w:val="none" w:sz="0" w:space="0" w:color="auto"/>
        <w:bottom w:val="none" w:sz="0" w:space="0" w:color="auto"/>
        <w:right w:val="none" w:sz="0" w:space="0" w:color="auto"/>
      </w:divBdr>
    </w:div>
    <w:div w:id="1093935156">
      <w:bodyDiv w:val="1"/>
      <w:marLeft w:val="0"/>
      <w:marRight w:val="0"/>
      <w:marTop w:val="0"/>
      <w:marBottom w:val="0"/>
      <w:divBdr>
        <w:top w:val="none" w:sz="0" w:space="0" w:color="auto"/>
        <w:left w:val="none" w:sz="0" w:space="0" w:color="auto"/>
        <w:bottom w:val="none" w:sz="0" w:space="0" w:color="auto"/>
        <w:right w:val="none" w:sz="0" w:space="0" w:color="auto"/>
      </w:divBdr>
    </w:div>
    <w:div w:id="1105541113">
      <w:bodyDiv w:val="1"/>
      <w:marLeft w:val="0"/>
      <w:marRight w:val="0"/>
      <w:marTop w:val="0"/>
      <w:marBottom w:val="0"/>
      <w:divBdr>
        <w:top w:val="none" w:sz="0" w:space="0" w:color="auto"/>
        <w:left w:val="none" w:sz="0" w:space="0" w:color="auto"/>
        <w:bottom w:val="none" w:sz="0" w:space="0" w:color="auto"/>
        <w:right w:val="none" w:sz="0" w:space="0" w:color="auto"/>
      </w:divBdr>
      <w:divsChild>
        <w:div w:id="769812025">
          <w:marLeft w:val="0"/>
          <w:marRight w:val="0"/>
          <w:marTop w:val="0"/>
          <w:marBottom w:val="0"/>
          <w:divBdr>
            <w:top w:val="none" w:sz="0" w:space="0" w:color="auto"/>
            <w:left w:val="none" w:sz="0" w:space="0" w:color="auto"/>
            <w:bottom w:val="none" w:sz="0" w:space="0" w:color="auto"/>
            <w:right w:val="none" w:sz="0" w:space="0" w:color="auto"/>
          </w:divBdr>
        </w:div>
        <w:div w:id="791168893">
          <w:marLeft w:val="0"/>
          <w:marRight w:val="0"/>
          <w:marTop w:val="0"/>
          <w:marBottom w:val="0"/>
          <w:divBdr>
            <w:top w:val="none" w:sz="0" w:space="0" w:color="auto"/>
            <w:left w:val="none" w:sz="0" w:space="0" w:color="auto"/>
            <w:bottom w:val="none" w:sz="0" w:space="0" w:color="auto"/>
            <w:right w:val="none" w:sz="0" w:space="0" w:color="auto"/>
          </w:divBdr>
        </w:div>
        <w:div w:id="1058013988">
          <w:marLeft w:val="0"/>
          <w:marRight w:val="0"/>
          <w:marTop w:val="0"/>
          <w:marBottom w:val="0"/>
          <w:divBdr>
            <w:top w:val="none" w:sz="0" w:space="0" w:color="auto"/>
            <w:left w:val="none" w:sz="0" w:space="0" w:color="auto"/>
            <w:bottom w:val="none" w:sz="0" w:space="0" w:color="auto"/>
            <w:right w:val="none" w:sz="0" w:space="0" w:color="auto"/>
          </w:divBdr>
        </w:div>
        <w:div w:id="2004701051">
          <w:marLeft w:val="0"/>
          <w:marRight w:val="0"/>
          <w:marTop w:val="0"/>
          <w:marBottom w:val="0"/>
          <w:divBdr>
            <w:top w:val="none" w:sz="0" w:space="0" w:color="auto"/>
            <w:left w:val="none" w:sz="0" w:space="0" w:color="auto"/>
            <w:bottom w:val="none" w:sz="0" w:space="0" w:color="auto"/>
            <w:right w:val="none" w:sz="0" w:space="0" w:color="auto"/>
          </w:divBdr>
        </w:div>
      </w:divsChild>
    </w:div>
    <w:div w:id="1121916281">
      <w:bodyDiv w:val="1"/>
      <w:marLeft w:val="0"/>
      <w:marRight w:val="0"/>
      <w:marTop w:val="0"/>
      <w:marBottom w:val="0"/>
      <w:divBdr>
        <w:top w:val="none" w:sz="0" w:space="0" w:color="auto"/>
        <w:left w:val="none" w:sz="0" w:space="0" w:color="auto"/>
        <w:bottom w:val="none" w:sz="0" w:space="0" w:color="auto"/>
        <w:right w:val="none" w:sz="0" w:space="0" w:color="auto"/>
      </w:divBdr>
      <w:divsChild>
        <w:div w:id="90519106">
          <w:marLeft w:val="0"/>
          <w:marRight w:val="0"/>
          <w:marTop w:val="0"/>
          <w:marBottom w:val="0"/>
          <w:divBdr>
            <w:top w:val="none" w:sz="0" w:space="0" w:color="auto"/>
            <w:left w:val="none" w:sz="0" w:space="0" w:color="auto"/>
            <w:bottom w:val="none" w:sz="0" w:space="0" w:color="auto"/>
            <w:right w:val="none" w:sz="0" w:space="0" w:color="auto"/>
          </w:divBdr>
        </w:div>
        <w:div w:id="1398164720">
          <w:marLeft w:val="0"/>
          <w:marRight w:val="0"/>
          <w:marTop w:val="360"/>
          <w:marBottom w:val="0"/>
          <w:divBdr>
            <w:top w:val="none" w:sz="0" w:space="0" w:color="auto"/>
            <w:left w:val="none" w:sz="0" w:space="0" w:color="auto"/>
            <w:bottom w:val="none" w:sz="0" w:space="0" w:color="auto"/>
            <w:right w:val="none" w:sz="0" w:space="0" w:color="auto"/>
          </w:divBdr>
          <w:divsChild>
            <w:div w:id="1281650304">
              <w:marLeft w:val="0"/>
              <w:marRight w:val="0"/>
              <w:marTop w:val="0"/>
              <w:marBottom w:val="0"/>
              <w:divBdr>
                <w:top w:val="none" w:sz="0" w:space="0" w:color="auto"/>
                <w:left w:val="none" w:sz="0" w:space="0" w:color="auto"/>
                <w:bottom w:val="none" w:sz="0" w:space="0" w:color="auto"/>
                <w:right w:val="none" w:sz="0" w:space="0" w:color="auto"/>
              </w:divBdr>
              <w:divsChild>
                <w:div w:id="80220594">
                  <w:marLeft w:val="0"/>
                  <w:marRight w:val="0"/>
                  <w:marTop w:val="0"/>
                  <w:marBottom w:val="0"/>
                  <w:divBdr>
                    <w:top w:val="none" w:sz="0" w:space="0" w:color="auto"/>
                    <w:left w:val="none" w:sz="0" w:space="0" w:color="auto"/>
                    <w:bottom w:val="none" w:sz="0" w:space="0" w:color="auto"/>
                    <w:right w:val="none" w:sz="0" w:space="0" w:color="auto"/>
                  </w:divBdr>
                </w:div>
                <w:div w:id="348222858">
                  <w:marLeft w:val="0"/>
                  <w:marRight w:val="0"/>
                  <w:marTop w:val="0"/>
                  <w:marBottom w:val="0"/>
                  <w:divBdr>
                    <w:top w:val="none" w:sz="0" w:space="0" w:color="auto"/>
                    <w:left w:val="none" w:sz="0" w:space="0" w:color="auto"/>
                    <w:bottom w:val="none" w:sz="0" w:space="0" w:color="auto"/>
                    <w:right w:val="none" w:sz="0" w:space="0" w:color="auto"/>
                  </w:divBdr>
                </w:div>
                <w:div w:id="1578395582">
                  <w:marLeft w:val="0"/>
                  <w:marRight w:val="0"/>
                  <w:marTop w:val="0"/>
                  <w:marBottom w:val="0"/>
                  <w:divBdr>
                    <w:top w:val="none" w:sz="0" w:space="0" w:color="auto"/>
                    <w:left w:val="none" w:sz="0" w:space="0" w:color="auto"/>
                    <w:bottom w:val="none" w:sz="0" w:space="0" w:color="auto"/>
                    <w:right w:val="none" w:sz="0" w:space="0" w:color="auto"/>
                  </w:divBdr>
                  <w:divsChild>
                    <w:div w:id="394090371">
                      <w:marLeft w:val="960"/>
                      <w:marRight w:val="0"/>
                      <w:marTop w:val="0"/>
                      <w:marBottom w:val="0"/>
                      <w:divBdr>
                        <w:top w:val="none" w:sz="0" w:space="0" w:color="auto"/>
                        <w:left w:val="none" w:sz="0" w:space="0" w:color="auto"/>
                        <w:bottom w:val="none" w:sz="0" w:space="0" w:color="auto"/>
                        <w:right w:val="none" w:sz="0" w:space="0" w:color="auto"/>
                      </w:divBdr>
                    </w:div>
                  </w:divsChild>
                </w:div>
                <w:div w:id="19480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806124">
      <w:bodyDiv w:val="1"/>
      <w:marLeft w:val="0"/>
      <w:marRight w:val="0"/>
      <w:marTop w:val="0"/>
      <w:marBottom w:val="0"/>
      <w:divBdr>
        <w:top w:val="none" w:sz="0" w:space="0" w:color="auto"/>
        <w:left w:val="none" w:sz="0" w:space="0" w:color="auto"/>
        <w:bottom w:val="none" w:sz="0" w:space="0" w:color="auto"/>
        <w:right w:val="none" w:sz="0" w:space="0" w:color="auto"/>
      </w:divBdr>
    </w:div>
    <w:div w:id="1141776532">
      <w:bodyDiv w:val="1"/>
      <w:marLeft w:val="0"/>
      <w:marRight w:val="0"/>
      <w:marTop w:val="0"/>
      <w:marBottom w:val="0"/>
      <w:divBdr>
        <w:top w:val="none" w:sz="0" w:space="0" w:color="auto"/>
        <w:left w:val="none" w:sz="0" w:space="0" w:color="auto"/>
        <w:bottom w:val="none" w:sz="0" w:space="0" w:color="auto"/>
        <w:right w:val="none" w:sz="0" w:space="0" w:color="auto"/>
      </w:divBdr>
    </w:div>
    <w:div w:id="1142652415">
      <w:bodyDiv w:val="1"/>
      <w:marLeft w:val="0"/>
      <w:marRight w:val="0"/>
      <w:marTop w:val="0"/>
      <w:marBottom w:val="0"/>
      <w:divBdr>
        <w:top w:val="none" w:sz="0" w:space="0" w:color="auto"/>
        <w:left w:val="none" w:sz="0" w:space="0" w:color="auto"/>
        <w:bottom w:val="none" w:sz="0" w:space="0" w:color="auto"/>
        <w:right w:val="none" w:sz="0" w:space="0" w:color="auto"/>
      </w:divBdr>
    </w:div>
    <w:div w:id="1187673309">
      <w:bodyDiv w:val="1"/>
      <w:marLeft w:val="0"/>
      <w:marRight w:val="0"/>
      <w:marTop w:val="0"/>
      <w:marBottom w:val="0"/>
      <w:divBdr>
        <w:top w:val="none" w:sz="0" w:space="0" w:color="auto"/>
        <w:left w:val="none" w:sz="0" w:space="0" w:color="auto"/>
        <w:bottom w:val="none" w:sz="0" w:space="0" w:color="auto"/>
        <w:right w:val="none" w:sz="0" w:space="0" w:color="auto"/>
      </w:divBdr>
    </w:div>
    <w:div w:id="1192959242">
      <w:bodyDiv w:val="1"/>
      <w:marLeft w:val="0"/>
      <w:marRight w:val="0"/>
      <w:marTop w:val="0"/>
      <w:marBottom w:val="0"/>
      <w:divBdr>
        <w:top w:val="none" w:sz="0" w:space="0" w:color="auto"/>
        <w:left w:val="none" w:sz="0" w:space="0" w:color="auto"/>
        <w:bottom w:val="none" w:sz="0" w:space="0" w:color="auto"/>
        <w:right w:val="none" w:sz="0" w:space="0" w:color="auto"/>
      </w:divBdr>
    </w:div>
    <w:div w:id="1194340644">
      <w:bodyDiv w:val="1"/>
      <w:marLeft w:val="0"/>
      <w:marRight w:val="0"/>
      <w:marTop w:val="0"/>
      <w:marBottom w:val="0"/>
      <w:divBdr>
        <w:top w:val="none" w:sz="0" w:space="0" w:color="auto"/>
        <w:left w:val="none" w:sz="0" w:space="0" w:color="auto"/>
        <w:bottom w:val="none" w:sz="0" w:space="0" w:color="auto"/>
        <w:right w:val="none" w:sz="0" w:space="0" w:color="auto"/>
      </w:divBdr>
    </w:div>
    <w:div w:id="1206991185">
      <w:bodyDiv w:val="1"/>
      <w:marLeft w:val="0"/>
      <w:marRight w:val="0"/>
      <w:marTop w:val="0"/>
      <w:marBottom w:val="0"/>
      <w:divBdr>
        <w:top w:val="none" w:sz="0" w:space="0" w:color="auto"/>
        <w:left w:val="none" w:sz="0" w:space="0" w:color="auto"/>
        <w:bottom w:val="none" w:sz="0" w:space="0" w:color="auto"/>
        <w:right w:val="none" w:sz="0" w:space="0" w:color="auto"/>
      </w:divBdr>
      <w:divsChild>
        <w:div w:id="1575895518">
          <w:marLeft w:val="0"/>
          <w:marRight w:val="0"/>
          <w:marTop w:val="0"/>
          <w:marBottom w:val="0"/>
          <w:divBdr>
            <w:top w:val="none" w:sz="0" w:space="0" w:color="auto"/>
            <w:left w:val="none" w:sz="0" w:space="0" w:color="auto"/>
            <w:bottom w:val="none" w:sz="0" w:space="0" w:color="auto"/>
            <w:right w:val="none" w:sz="0" w:space="0" w:color="auto"/>
          </w:divBdr>
          <w:divsChild>
            <w:div w:id="331568506">
              <w:marLeft w:val="0"/>
              <w:marRight w:val="0"/>
              <w:marTop w:val="0"/>
              <w:marBottom w:val="0"/>
              <w:divBdr>
                <w:top w:val="none" w:sz="0" w:space="0" w:color="auto"/>
                <w:left w:val="none" w:sz="0" w:space="0" w:color="auto"/>
                <w:bottom w:val="none" w:sz="0" w:space="0" w:color="auto"/>
                <w:right w:val="none" w:sz="0" w:space="0" w:color="auto"/>
              </w:divBdr>
            </w:div>
          </w:divsChild>
        </w:div>
        <w:div w:id="1966619137">
          <w:marLeft w:val="0"/>
          <w:marRight w:val="0"/>
          <w:marTop w:val="0"/>
          <w:marBottom w:val="0"/>
          <w:divBdr>
            <w:top w:val="none" w:sz="0" w:space="0" w:color="auto"/>
            <w:left w:val="none" w:sz="0" w:space="0" w:color="auto"/>
            <w:bottom w:val="none" w:sz="0" w:space="0" w:color="auto"/>
            <w:right w:val="none" w:sz="0" w:space="0" w:color="auto"/>
          </w:divBdr>
          <w:divsChild>
            <w:div w:id="668289045">
              <w:marLeft w:val="0"/>
              <w:marRight w:val="0"/>
              <w:marTop w:val="0"/>
              <w:marBottom w:val="0"/>
              <w:divBdr>
                <w:top w:val="none" w:sz="0" w:space="0" w:color="auto"/>
                <w:left w:val="none" w:sz="0" w:space="0" w:color="auto"/>
                <w:bottom w:val="none" w:sz="0" w:space="0" w:color="auto"/>
                <w:right w:val="none" w:sz="0" w:space="0" w:color="auto"/>
              </w:divBdr>
              <w:divsChild>
                <w:div w:id="760486406">
                  <w:marLeft w:val="0"/>
                  <w:marRight w:val="0"/>
                  <w:marTop w:val="0"/>
                  <w:marBottom w:val="0"/>
                  <w:divBdr>
                    <w:top w:val="none" w:sz="0" w:space="0" w:color="auto"/>
                    <w:left w:val="none" w:sz="0" w:space="0" w:color="auto"/>
                    <w:bottom w:val="none" w:sz="0" w:space="0" w:color="auto"/>
                    <w:right w:val="none" w:sz="0" w:space="0" w:color="auto"/>
                  </w:divBdr>
                </w:div>
                <w:div w:id="1606425139">
                  <w:marLeft w:val="0"/>
                  <w:marRight w:val="0"/>
                  <w:marTop w:val="0"/>
                  <w:marBottom w:val="0"/>
                  <w:divBdr>
                    <w:top w:val="none" w:sz="0" w:space="0" w:color="auto"/>
                    <w:left w:val="none" w:sz="0" w:space="0" w:color="auto"/>
                    <w:bottom w:val="none" w:sz="0" w:space="0" w:color="auto"/>
                    <w:right w:val="none" w:sz="0" w:space="0" w:color="auto"/>
                  </w:divBdr>
                  <w:divsChild>
                    <w:div w:id="287587955">
                      <w:marLeft w:val="0"/>
                      <w:marRight w:val="0"/>
                      <w:marTop w:val="0"/>
                      <w:marBottom w:val="0"/>
                      <w:divBdr>
                        <w:top w:val="none" w:sz="0" w:space="0" w:color="auto"/>
                        <w:left w:val="none" w:sz="0" w:space="0" w:color="auto"/>
                        <w:bottom w:val="none" w:sz="0" w:space="0" w:color="auto"/>
                        <w:right w:val="none" w:sz="0" w:space="0" w:color="auto"/>
                      </w:divBdr>
                      <w:divsChild>
                        <w:div w:id="1566605014">
                          <w:marLeft w:val="0"/>
                          <w:marRight w:val="0"/>
                          <w:marTop w:val="0"/>
                          <w:marBottom w:val="0"/>
                          <w:divBdr>
                            <w:top w:val="single" w:sz="6" w:space="0" w:color="B0BEC5"/>
                            <w:left w:val="single" w:sz="6" w:space="0" w:color="B0BEC5"/>
                            <w:bottom w:val="single" w:sz="6" w:space="0" w:color="B0BEC5"/>
                            <w:right w:val="single" w:sz="6" w:space="0" w:color="B0BEC5"/>
                          </w:divBdr>
                        </w:div>
                      </w:divsChild>
                    </w:div>
                  </w:divsChild>
                </w:div>
              </w:divsChild>
            </w:div>
            <w:div w:id="1924754027">
              <w:marLeft w:val="0"/>
              <w:marRight w:val="0"/>
              <w:marTop w:val="0"/>
              <w:marBottom w:val="0"/>
              <w:divBdr>
                <w:top w:val="none" w:sz="0" w:space="0" w:color="auto"/>
                <w:left w:val="none" w:sz="0" w:space="0" w:color="auto"/>
                <w:bottom w:val="single" w:sz="6" w:space="0" w:color="B0BEC5"/>
                <w:right w:val="none" w:sz="0" w:space="0" w:color="auto"/>
              </w:divBdr>
            </w:div>
          </w:divsChild>
        </w:div>
      </w:divsChild>
    </w:div>
    <w:div w:id="1207138074">
      <w:bodyDiv w:val="1"/>
      <w:marLeft w:val="0"/>
      <w:marRight w:val="0"/>
      <w:marTop w:val="0"/>
      <w:marBottom w:val="0"/>
      <w:divBdr>
        <w:top w:val="none" w:sz="0" w:space="0" w:color="auto"/>
        <w:left w:val="none" w:sz="0" w:space="0" w:color="auto"/>
        <w:bottom w:val="none" w:sz="0" w:space="0" w:color="auto"/>
        <w:right w:val="none" w:sz="0" w:space="0" w:color="auto"/>
      </w:divBdr>
    </w:div>
    <w:div w:id="1209998400">
      <w:bodyDiv w:val="1"/>
      <w:marLeft w:val="0"/>
      <w:marRight w:val="0"/>
      <w:marTop w:val="0"/>
      <w:marBottom w:val="0"/>
      <w:divBdr>
        <w:top w:val="none" w:sz="0" w:space="0" w:color="auto"/>
        <w:left w:val="none" w:sz="0" w:space="0" w:color="auto"/>
        <w:bottom w:val="none" w:sz="0" w:space="0" w:color="auto"/>
        <w:right w:val="none" w:sz="0" w:space="0" w:color="auto"/>
      </w:divBdr>
    </w:div>
    <w:div w:id="1212692521">
      <w:bodyDiv w:val="1"/>
      <w:marLeft w:val="0"/>
      <w:marRight w:val="0"/>
      <w:marTop w:val="0"/>
      <w:marBottom w:val="0"/>
      <w:divBdr>
        <w:top w:val="none" w:sz="0" w:space="0" w:color="auto"/>
        <w:left w:val="none" w:sz="0" w:space="0" w:color="auto"/>
        <w:bottom w:val="none" w:sz="0" w:space="0" w:color="auto"/>
        <w:right w:val="none" w:sz="0" w:space="0" w:color="auto"/>
      </w:divBdr>
      <w:divsChild>
        <w:div w:id="1240746519">
          <w:marLeft w:val="0"/>
          <w:marRight w:val="0"/>
          <w:marTop w:val="120"/>
          <w:marBottom w:val="0"/>
          <w:divBdr>
            <w:top w:val="none" w:sz="0" w:space="0" w:color="auto"/>
            <w:left w:val="none" w:sz="0" w:space="0" w:color="auto"/>
            <w:bottom w:val="none" w:sz="0" w:space="0" w:color="auto"/>
            <w:right w:val="none" w:sz="0" w:space="0" w:color="auto"/>
          </w:divBdr>
        </w:div>
        <w:div w:id="1675956641">
          <w:marLeft w:val="0"/>
          <w:marRight w:val="0"/>
          <w:marTop w:val="120"/>
          <w:marBottom w:val="0"/>
          <w:divBdr>
            <w:top w:val="none" w:sz="0" w:space="0" w:color="auto"/>
            <w:left w:val="none" w:sz="0" w:space="0" w:color="auto"/>
            <w:bottom w:val="none" w:sz="0" w:space="0" w:color="auto"/>
            <w:right w:val="none" w:sz="0" w:space="0" w:color="auto"/>
          </w:divBdr>
        </w:div>
        <w:div w:id="1679693454">
          <w:marLeft w:val="0"/>
          <w:marRight w:val="0"/>
          <w:marTop w:val="0"/>
          <w:marBottom w:val="120"/>
          <w:divBdr>
            <w:top w:val="none" w:sz="0" w:space="0" w:color="auto"/>
            <w:left w:val="none" w:sz="0" w:space="0" w:color="auto"/>
            <w:bottom w:val="none" w:sz="0" w:space="0" w:color="auto"/>
            <w:right w:val="none" w:sz="0" w:space="0" w:color="auto"/>
          </w:divBdr>
        </w:div>
      </w:divsChild>
    </w:div>
    <w:div w:id="1214272766">
      <w:bodyDiv w:val="1"/>
      <w:marLeft w:val="0"/>
      <w:marRight w:val="0"/>
      <w:marTop w:val="0"/>
      <w:marBottom w:val="0"/>
      <w:divBdr>
        <w:top w:val="none" w:sz="0" w:space="0" w:color="auto"/>
        <w:left w:val="none" w:sz="0" w:space="0" w:color="auto"/>
        <w:bottom w:val="none" w:sz="0" w:space="0" w:color="auto"/>
        <w:right w:val="none" w:sz="0" w:space="0" w:color="auto"/>
      </w:divBdr>
    </w:div>
    <w:div w:id="1216548399">
      <w:bodyDiv w:val="1"/>
      <w:marLeft w:val="0"/>
      <w:marRight w:val="0"/>
      <w:marTop w:val="0"/>
      <w:marBottom w:val="0"/>
      <w:divBdr>
        <w:top w:val="none" w:sz="0" w:space="0" w:color="auto"/>
        <w:left w:val="none" w:sz="0" w:space="0" w:color="auto"/>
        <w:bottom w:val="none" w:sz="0" w:space="0" w:color="auto"/>
        <w:right w:val="none" w:sz="0" w:space="0" w:color="auto"/>
      </w:divBdr>
    </w:div>
    <w:div w:id="1235118388">
      <w:bodyDiv w:val="1"/>
      <w:marLeft w:val="0"/>
      <w:marRight w:val="0"/>
      <w:marTop w:val="0"/>
      <w:marBottom w:val="0"/>
      <w:divBdr>
        <w:top w:val="none" w:sz="0" w:space="0" w:color="auto"/>
        <w:left w:val="none" w:sz="0" w:space="0" w:color="auto"/>
        <w:bottom w:val="none" w:sz="0" w:space="0" w:color="auto"/>
        <w:right w:val="none" w:sz="0" w:space="0" w:color="auto"/>
      </w:divBdr>
    </w:div>
    <w:div w:id="1242063750">
      <w:bodyDiv w:val="1"/>
      <w:marLeft w:val="0"/>
      <w:marRight w:val="0"/>
      <w:marTop w:val="0"/>
      <w:marBottom w:val="0"/>
      <w:divBdr>
        <w:top w:val="none" w:sz="0" w:space="0" w:color="auto"/>
        <w:left w:val="none" w:sz="0" w:space="0" w:color="auto"/>
        <w:bottom w:val="none" w:sz="0" w:space="0" w:color="auto"/>
        <w:right w:val="none" w:sz="0" w:space="0" w:color="auto"/>
      </w:divBdr>
    </w:div>
    <w:div w:id="1242522952">
      <w:bodyDiv w:val="1"/>
      <w:marLeft w:val="0"/>
      <w:marRight w:val="0"/>
      <w:marTop w:val="0"/>
      <w:marBottom w:val="0"/>
      <w:divBdr>
        <w:top w:val="none" w:sz="0" w:space="0" w:color="auto"/>
        <w:left w:val="none" w:sz="0" w:space="0" w:color="auto"/>
        <w:bottom w:val="none" w:sz="0" w:space="0" w:color="auto"/>
        <w:right w:val="none" w:sz="0" w:space="0" w:color="auto"/>
      </w:divBdr>
    </w:div>
    <w:div w:id="1251620744">
      <w:bodyDiv w:val="1"/>
      <w:marLeft w:val="0"/>
      <w:marRight w:val="0"/>
      <w:marTop w:val="0"/>
      <w:marBottom w:val="0"/>
      <w:divBdr>
        <w:top w:val="none" w:sz="0" w:space="0" w:color="auto"/>
        <w:left w:val="none" w:sz="0" w:space="0" w:color="auto"/>
        <w:bottom w:val="none" w:sz="0" w:space="0" w:color="auto"/>
        <w:right w:val="none" w:sz="0" w:space="0" w:color="auto"/>
      </w:divBdr>
    </w:div>
    <w:div w:id="1282683231">
      <w:bodyDiv w:val="1"/>
      <w:marLeft w:val="0"/>
      <w:marRight w:val="0"/>
      <w:marTop w:val="0"/>
      <w:marBottom w:val="0"/>
      <w:divBdr>
        <w:top w:val="none" w:sz="0" w:space="0" w:color="auto"/>
        <w:left w:val="none" w:sz="0" w:space="0" w:color="auto"/>
        <w:bottom w:val="none" w:sz="0" w:space="0" w:color="auto"/>
        <w:right w:val="none" w:sz="0" w:space="0" w:color="auto"/>
      </w:divBdr>
    </w:div>
    <w:div w:id="1295714570">
      <w:bodyDiv w:val="1"/>
      <w:marLeft w:val="0"/>
      <w:marRight w:val="0"/>
      <w:marTop w:val="0"/>
      <w:marBottom w:val="0"/>
      <w:divBdr>
        <w:top w:val="none" w:sz="0" w:space="0" w:color="auto"/>
        <w:left w:val="none" w:sz="0" w:space="0" w:color="auto"/>
        <w:bottom w:val="none" w:sz="0" w:space="0" w:color="auto"/>
        <w:right w:val="none" w:sz="0" w:space="0" w:color="auto"/>
      </w:divBdr>
    </w:div>
    <w:div w:id="1305550737">
      <w:bodyDiv w:val="1"/>
      <w:marLeft w:val="0"/>
      <w:marRight w:val="0"/>
      <w:marTop w:val="0"/>
      <w:marBottom w:val="0"/>
      <w:divBdr>
        <w:top w:val="none" w:sz="0" w:space="0" w:color="auto"/>
        <w:left w:val="none" w:sz="0" w:space="0" w:color="auto"/>
        <w:bottom w:val="none" w:sz="0" w:space="0" w:color="auto"/>
        <w:right w:val="none" w:sz="0" w:space="0" w:color="auto"/>
      </w:divBdr>
    </w:div>
    <w:div w:id="1317342842">
      <w:bodyDiv w:val="1"/>
      <w:marLeft w:val="0"/>
      <w:marRight w:val="0"/>
      <w:marTop w:val="0"/>
      <w:marBottom w:val="0"/>
      <w:divBdr>
        <w:top w:val="none" w:sz="0" w:space="0" w:color="auto"/>
        <w:left w:val="none" w:sz="0" w:space="0" w:color="auto"/>
        <w:bottom w:val="none" w:sz="0" w:space="0" w:color="auto"/>
        <w:right w:val="none" w:sz="0" w:space="0" w:color="auto"/>
      </w:divBdr>
    </w:div>
    <w:div w:id="1355687757">
      <w:bodyDiv w:val="1"/>
      <w:marLeft w:val="0"/>
      <w:marRight w:val="0"/>
      <w:marTop w:val="0"/>
      <w:marBottom w:val="0"/>
      <w:divBdr>
        <w:top w:val="none" w:sz="0" w:space="0" w:color="auto"/>
        <w:left w:val="none" w:sz="0" w:space="0" w:color="auto"/>
        <w:bottom w:val="none" w:sz="0" w:space="0" w:color="auto"/>
        <w:right w:val="none" w:sz="0" w:space="0" w:color="auto"/>
      </w:divBdr>
    </w:div>
    <w:div w:id="1359041533">
      <w:bodyDiv w:val="1"/>
      <w:marLeft w:val="0"/>
      <w:marRight w:val="0"/>
      <w:marTop w:val="0"/>
      <w:marBottom w:val="0"/>
      <w:divBdr>
        <w:top w:val="none" w:sz="0" w:space="0" w:color="auto"/>
        <w:left w:val="none" w:sz="0" w:space="0" w:color="auto"/>
        <w:bottom w:val="none" w:sz="0" w:space="0" w:color="auto"/>
        <w:right w:val="none" w:sz="0" w:space="0" w:color="auto"/>
      </w:divBdr>
    </w:div>
    <w:div w:id="1390109967">
      <w:bodyDiv w:val="1"/>
      <w:marLeft w:val="0"/>
      <w:marRight w:val="0"/>
      <w:marTop w:val="0"/>
      <w:marBottom w:val="0"/>
      <w:divBdr>
        <w:top w:val="none" w:sz="0" w:space="0" w:color="auto"/>
        <w:left w:val="none" w:sz="0" w:space="0" w:color="auto"/>
        <w:bottom w:val="none" w:sz="0" w:space="0" w:color="auto"/>
        <w:right w:val="none" w:sz="0" w:space="0" w:color="auto"/>
      </w:divBdr>
    </w:div>
    <w:div w:id="1399861737">
      <w:bodyDiv w:val="1"/>
      <w:marLeft w:val="0"/>
      <w:marRight w:val="0"/>
      <w:marTop w:val="0"/>
      <w:marBottom w:val="0"/>
      <w:divBdr>
        <w:top w:val="none" w:sz="0" w:space="0" w:color="auto"/>
        <w:left w:val="none" w:sz="0" w:space="0" w:color="auto"/>
        <w:bottom w:val="none" w:sz="0" w:space="0" w:color="auto"/>
        <w:right w:val="none" w:sz="0" w:space="0" w:color="auto"/>
      </w:divBdr>
      <w:divsChild>
        <w:div w:id="910698881">
          <w:marLeft w:val="0"/>
          <w:marRight w:val="0"/>
          <w:marTop w:val="0"/>
          <w:marBottom w:val="0"/>
          <w:divBdr>
            <w:top w:val="none" w:sz="0" w:space="0" w:color="auto"/>
            <w:left w:val="none" w:sz="0" w:space="0" w:color="auto"/>
            <w:bottom w:val="none" w:sz="0" w:space="0" w:color="auto"/>
            <w:right w:val="none" w:sz="0" w:space="0" w:color="auto"/>
          </w:divBdr>
          <w:divsChild>
            <w:div w:id="159246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20949">
      <w:bodyDiv w:val="1"/>
      <w:marLeft w:val="0"/>
      <w:marRight w:val="0"/>
      <w:marTop w:val="0"/>
      <w:marBottom w:val="0"/>
      <w:divBdr>
        <w:top w:val="none" w:sz="0" w:space="0" w:color="auto"/>
        <w:left w:val="none" w:sz="0" w:space="0" w:color="auto"/>
        <w:bottom w:val="none" w:sz="0" w:space="0" w:color="auto"/>
        <w:right w:val="none" w:sz="0" w:space="0" w:color="auto"/>
      </w:divBdr>
    </w:div>
    <w:div w:id="1412699962">
      <w:bodyDiv w:val="1"/>
      <w:marLeft w:val="0"/>
      <w:marRight w:val="0"/>
      <w:marTop w:val="0"/>
      <w:marBottom w:val="0"/>
      <w:divBdr>
        <w:top w:val="none" w:sz="0" w:space="0" w:color="auto"/>
        <w:left w:val="none" w:sz="0" w:space="0" w:color="auto"/>
        <w:bottom w:val="none" w:sz="0" w:space="0" w:color="auto"/>
        <w:right w:val="none" w:sz="0" w:space="0" w:color="auto"/>
      </w:divBdr>
    </w:div>
    <w:div w:id="1439911067">
      <w:bodyDiv w:val="1"/>
      <w:marLeft w:val="0"/>
      <w:marRight w:val="0"/>
      <w:marTop w:val="0"/>
      <w:marBottom w:val="0"/>
      <w:divBdr>
        <w:top w:val="none" w:sz="0" w:space="0" w:color="auto"/>
        <w:left w:val="none" w:sz="0" w:space="0" w:color="auto"/>
        <w:bottom w:val="none" w:sz="0" w:space="0" w:color="auto"/>
        <w:right w:val="none" w:sz="0" w:space="0" w:color="auto"/>
      </w:divBdr>
    </w:div>
    <w:div w:id="1460803815">
      <w:bodyDiv w:val="1"/>
      <w:marLeft w:val="0"/>
      <w:marRight w:val="0"/>
      <w:marTop w:val="0"/>
      <w:marBottom w:val="0"/>
      <w:divBdr>
        <w:top w:val="none" w:sz="0" w:space="0" w:color="auto"/>
        <w:left w:val="none" w:sz="0" w:space="0" w:color="auto"/>
        <w:bottom w:val="none" w:sz="0" w:space="0" w:color="auto"/>
        <w:right w:val="none" w:sz="0" w:space="0" w:color="auto"/>
      </w:divBdr>
    </w:div>
    <w:div w:id="1461074614">
      <w:bodyDiv w:val="1"/>
      <w:marLeft w:val="0"/>
      <w:marRight w:val="0"/>
      <w:marTop w:val="0"/>
      <w:marBottom w:val="0"/>
      <w:divBdr>
        <w:top w:val="none" w:sz="0" w:space="0" w:color="auto"/>
        <w:left w:val="none" w:sz="0" w:space="0" w:color="auto"/>
        <w:bottom w:val="none" w:sz="0" w:space="0" w:color="auto"/>
        <w:right w:val="none" w:sz="0" w:space="0" w:color="auto"/>
      </w:divBdr>
    </w:div>
    <w:div w:id="1469473618">
      <w:bodyDiv w:val="1"/>
      <w:marLeft w:val="0"/>
      <w:marRight w:val="0"/>
      <w:marTop w:val="0"/>
      <w:marBottom w:val="0"/>
      <w:divBdr>
        <w:top w:val="none" w:sz="0" w:space="0" w:color="auto"/>
        <w:left w:val="none" w:sz="0" w:space="0" w:color="auto"/>
        <w:bottom w:val="none" w:sz="0" w:space="0" w:color="auto"/>
        <w:right w:val="none" w:sz="0" w:space="0" w:color="auto"/>
      </w:divBdr>
    </w:div>
    <w:div w:id="1482192426">
      <w:bodyDiv w:val="1"/>
      <w:marLeft w:val="0"/>
      <w:marRight w:val="0"/>
      <w:marTop w:val="0"/>
      <w:marBottom w:val="0"/>
      <w:divBdr>
        <w:top w:val="none" w:sz="0" w:space="0" w:color="auto"/>
        <w:left w:val="none" w:sz="0" w:space="0" w:color="auto"/>
        <w:bottom w:val="none" w:sz="0" w:space="0" w:color="auto"/>
        <w:right w:val="none" w:sz="0" w:space="0" w:color="auto"/>
      </w:divBdr>
    </w:div>
    <w:div w:id="1490560040">
      <w:bodyDiv w:val="1"/>
      <w:marLeft w:val="0"/>
      <w:marRight w:val="0"/>
      <w:marTop w:val="0"/>
      <w:marBottom w:val="0"/>
      <w:divBdr>
        <w:top w:val="none" w:sz="0" w:space="0" w:color="auto"/>
        <w:left w:val="none" w:sz="0" w:space="0" w:color="auto"/>
        <w:bottom w:val="none" w:sz="0" w:space="0" w:color="auto"/>
        <w:right w:val="none" w:sz="0" w:space="0" w:color="auto"/>
      </w:divBdr>
    </w:div>
    <w:div w:id="1506094101">
      <w:bodyDiv w:val="1"/>
      <w:marLeft w:val="0"/>
      <w:marRight w:val="0"/>
      <w:marTop w:val="0"/>
      <w:marBottom w:val="0"/>
      <w:divBdr>
        <w:top w:val="none" w:sz="0" w:space="0" w:color="auto"/>
        <w:left w:val="none" w:sz="0" w:space="0" w:color="auto"/>
        <w:bottom w:val="none" w:sz="0" w:space="0" w:color="auto"/>
        <w:right w:val="none" w:sz="0" w:space="0" w:color="auto"/>
      </w:divBdr>
    </w:div>
    <w:div w:id="1522936891">
      <w:bodyDiv w:val="1"/>
      <w:marLeft w:val="0"/>
      <w:marRight w:val="0"/>
      <w:marTop w:val="0"/>
      <w:marBottom w:val="0"/>
      <w:divBdr>
        <w:top w:val="none" w:sz="0" w:space="0" w:color="auto"/>
        <w:left w:val="none" w:sz="0" w:space="0" w:color="auto"/>
        <w:bottom w:val="none" w:sz="0" w:space="0" w:color="auto"/>
        <w:right w:val="none" w:sz="0" w:space="0" w:color="auto"/>
      </w:divBdr>
    </w:div>
    <w:div w:id="1524899080">
      <w:bodyDiv w:val="1"/>
      <w:marLeft w:val="0"/>
      <w:marRight w:val="0"/>
      <w:marTop w:val="0"/>
      <w:marBottom w:val="0"/>
      <w:divBdr>
        <w:top w:val="none" w:sz="0" w:space="0" w:color="auto"/>
        <w:left w:val="none" w:sz="0" w:space="0" w:color="auto"/>
        <w:bottom w:val="none" w:sz="0" w:space="0" w:color="auto"/>
        <w:right w:val="none" w:sz="0" w:space="0" w:color="auto"/>
      </w:divBdr>
      <w:divsChild>
        <w:div w:id="108279928">
          <w:marLeft w:val="0"/>
          <w:marRight w:val="0"/>
          <w:marTop w:val="120"/>
          <w:marBottom w:val="0"/>
          <w:divBdr>
            <w:top w:val="none" w:sz="0" w:space="0" w:color="auto"/>
            <w:left w:val="none" w:sz="0" w:space="0" w:color="auto"/>
            <w:bottom w:val="none" w:sz="0" w:space="0" w:color="auto"/>
            <w:right w:val="none" w:sz="0" w:space="0" w:color="auto"/>
          </w:divBdr>
        </w:div>
        <w:div w:id="1054308524">
          <w:marLeft w:val="0"/>
          <w:marRight w:val="0"/>
          <w:marTop w:val="0"/>
          <w:marBottom w:val="120"/>
          <w:divBdr>
            <w:top w:val="none" w:sz="0" w:space="0" w:color="auto"/>
            <w:left w:val="none" w:sz="0" w:space="0" w:color="auto"/>
            <w:bottom w:val="none" w:sz="0" w:space="0" w:color="auto"/>
            <w:right w:val="none" w:sz="0" w:space="0" w:color="auto"/>
          </w:divBdr>
        </w:div>
        <w:div w:id="2003317730">
          <w:marLeft w:val="0"/>
          <w:marRight w:val="0"/>
          <w:marTop w:val="120"/>
          <w:marBottom w:val="0"/>
          <w:divBdr>
            <w:top w:val="none" w:sz="0" w:space="0" w:color="auto"/>
            <w:left w:val="none" w:sz="0" w:space="0" w:color="auto"/>
            <w:bottom w:val="none" w:sz="0" w:space="0" w:color="auto"/>
            <w:right w:val="none" w:sz="0" w:space="0" w:color="auto"/>
          </w:divBdr>
        </w:div>
      </w:divsChild>
    </w:div>
    <w:div w:id="1549143778">
      <w:bodyDiv w:val="1"/>
      <w:marLeft w:val="0"/>
      <w:marRight w:val="0"/>
      <w:marTop w:val="0"/>
      <w:marBottom w:val="0"/>
      <w:divBdr>
        <w:top w:val="none" w:sz="0" w:space="0" w:color="auto"/>
        <w:left w:val="none" w:sz="0" w:space="0" w:color="auto"/>
        <w:bottom w:val="none" w:sz="0" w:space="0" w:color="auto"/>
        <w:right w:val="none" w:sz="0" w:space="0" w:color="auto"/>
      </w:divBdr>
    </w:div>
    <w:div w:id="1554734544">
      <w:bodyDiv w:val="1"/>
      <w:marLeft w:val="0"/>
      <w:marRight w:val="0"/>
      <w:marTop w:val="0"/>
      <w:marBottom w:val="0"/>
      <w:divBdr>
        <w:top w:val="none" w:sz="0" w:space="0" w:color="auto"/>
        <w:left w:val="none" w:sz="0" w:space="0" w:color="auto"/>
        <w:bottom w:val="none" w:sz="0" w:space="0" w:color="auto"/>
        <w:right w:val="none" w:sz="0" w:space="0" w:color="auto"/>
      </w:divBdr>
    </w:div>
    <w:div w:id="1588615963">
      <w:bodyDiv w:val="1"/>
      <w:marLeft w:val="0"/>
      <w:marRight w:val="0"/>
      <w:marTop w:val="0"/>
      <w:marBottom w:val="0"/>
      <w:divBdr>
        <w:top w:val="none" w:sz="0" w:space="0" w:color="auto"/>
        <w:left w:val="none" w:sz="0" w:space="0" w:color="auto"/>
        <w:bottom w:val="none" w:sz="0" w:space="0" w:color="auto"/>
        <w:right w:val="none" w:sz="0" w:space="0" w:color="auto"/>
      </w:divBdr>
    </w:div>
    <w:div w:id="1601841125">
      <w:bodyDiv w:val="1"/>
      <w:marLeft w:val="0"/>
      <w:marRight w:val="0"/>
      <w:marTop w:val="0"/>
      <w:marBottom w:val="0"/>
      <w:divBdr>
        <w:top w:val="none" w:sz="0" w:space="0" w:color="auto"/>
        <w:left w:val="none" w:sz="0" w:space="0" w:color="auto"/>
        <w:bottom w:val="none" w:sz="0" w:space="0" w:color="auto"/>
        <w:right w:val="none" w:sz="0" w:space="0" w:color="auto"/>
      </w:divBdr>
    </w:div>
    <w:div w:id="1609506644">
      <w:bodyDiv w:val="1"/>
      <w:marLeft w:val="0"/>
      <w:marRight w:val="0"/>
      <w:marTop w:val="0"/>
      <w:marBottom w:val="0"/>
      <w:divBdr>
        <w:top w:val="none" w:sz="0" w:space="0" w:color="auto"/>
        <w:left w:val="none" w:sz="0" w:space="0" w:color="auto"/>
        <w:bottom w:val="none" w:sz="0" w:space="0" w:color="auto"/>
        <w:right w:val="none" w:sz="0" w:space="0" w:color="auto"/>
      </w:divBdr>
    </w:div>
    <w:div w:id="1634166880">
      <w:bodyDiv w:val="1"/>
      <w:marLeft w:val="0"/>
      <w:marRight w:val="0"/>
      <w:marTop w:val="0"/>
      <w:marBottom w:val="0"/>
      <w:divBdr>
        <w:top w:val="none" w:sz="0" w:space="0" w:color="auto"/>
        <w:left w:val="none" w:sz="0" w:space="0" w:color="auto"/>
        <w:bottom w:val="none" w:sz="0" w:space="0" w:color="auto"/>
        <w:right w:val="none" w:sz="0" w:space="0" w:color="auto"/>
      </w:divBdr>
      <w:divsChild>
        <w:div w:id="482624456">
          <w:marLeft w:val="0"/>
          <w:marRight w:val="0"/>
          <w:marTop w:val="0"/>
          <w:marBottom w:val="75"/>
          <w:divBdr>
            <w:top w:val="none" w:sz="0" w:space="0" w:color="auto"/>
            <w:left w:val="none" w:sz="0" w:space="0" w:color="auto"/>
            <w:bottom w:val="none" w:sz="0" w:space="0" w:color="auto"/>
            <w:right w:val="none" w:sz="0" w:space="0" w:color="auto"/>
          </w:divBdr>
        </w:div>
      </w:divsChild>
    </w:div>
    <w:div w:id="1634168052">
      <w:bodyDiv w:val="1"/>
      <w:marLeft w:val="0"/>
      <w:marRight w:val="0"/>
      <w:marTop w:val="0"/>
      <w:marBottom w:val="0"/>
      <w:divBdr>
        <w:top w:val="none" w:sz="0" w:space="0" w:color="auto"/>
        <w:left w:val="none" w:sz="0" w:space="0" w:color="auto"/>
        <w:bottom w:val="none" w:sz="0" w:space="0" w:color="auto"/>
        <w:right w:val="none" w:sz="0" w:space="0" w:color="auto"/>
      </w:divBdr>
    </w:div>
    <w:div w:id="1635714575">
      <w:bodyDiv w:val="1"/>
      <w:marLeft w:val="0"/>
      <w:marRight w:val="0"/>
      <w:marTop w:val="0"/>
      <w:marBottom w:val="0"/>
      <w:divBdr>
        <w:top w:val="none" w:sz="0" w:space="0" w:color="auto"/>
        <w:left w:val="none" w:sz="0" w:space="0" w:color="auto"/>
        <w:bottom w:val="none" w:sz="0" w:space="0" w:color="auto"/>
        <w:right w:val="none" w:sz="0" w:space="0" w:color="auto"/>
      </w:divBdr>
      <w:divsChild>
        <w:div w:id="1830831638">
          <w:marLeft w:val="0"/>
          <w:marRight w:val="0"/>
          <w:marTop w:val="0"/>
          <w:marBottom w:val="120"/>
          <w:divBdr>
            <w:top w:val="none" w:sz="0" w:space="0" w:color="auto"/>
            <w:left w:val="none" w:sz="0" w:space="0" w:color="auto"/>
            <w:bottom w:val="none" w:sz="0" w:space="0" w:color="auto"/>
            <w:right w:val="none" w:sz="0" w:space="0" w:color="auto"/>
          </w:divBdr>
        </w:div>
      </w:divsChild>
    </w:div>
    <w:div w:id="1639408723">
      <w:bodyDiv w:val="1"/>
      <w:marLeft w:val="0"/>
      <w:marRight w:val="0"/>
      <w:marTop w:val="0"/>
      <w:marBottom w:val="0"/>
      <w:divBdr>
        <w:top w:val="none" w:sz="0" w:space="0" w:color="auto"/>
        <w:left w:val="none" w:sz="0" w:space="0" w:color="auto"/>
        <w:bottom w:val="none" w:sz="0" w:space="0" w:color="auto"/>
        <w:right w:val="none" w:sz="0" w:space="0" w:color="auto"/>
      </w:divBdr>
    </w:div>
    <w:div w:id="1649046365">
      <w:bodyDiv w:val="1"/>
      <w:marLeft w:val="0"/>
      <w:marRight w:val="0"/>
      <w:marTop w:val="0"/>
      <w:marBottom w:val="0"/>
      <w:divBdr>
        <w:top w:val="none" w:sz="0" w:space="0" w:color="auto"/>
        <w:left w:val="none" w:sz="0" w:space="0" w:color="auto"/>
        <w:bottom w:val="none" w:sz="0" w:space="0" w:color="auto"/>
        <w:right w:val="none" w:sz="0" w:space="0" w:color="auto"/>
      </w:divBdr>
    </w:div>
    <w:div w:id="1660185432">
      <w:bodyDiv w:val="1"/>
      <w:marLeft w:val="0"/>
      <w:marRight w:val="0"/>
      <w:marTop w:val="0"/>
      <w:marBottom w:val="0"/>
      <w:divBdr>
        <w:top w:val="none" w:sz="0" w:space="0" w:color="auto"/>
        <w:left w:val="none" w:sz="0" w:space="0" w:color="auto"/>
        <w:bottom w:val="none" w:sz="0" w:space="0" w:color="auto"/>
        <w:right w:val="none" w:sz="0" w:space="0" w:color="auto"/>
      </w:divBdr>
    </w:div>
    <w:div w:id="1671640542">
      <w:bodyDiv w:val="1"/>
      <w:marLeft w:val="0"/>
      <w:marRight w:val="0"/>
      <w:marTop w:val="0"/>
      <w:marBottom w:val="0"/>
      <w:divBdr>
        <w:top w:val="none" w:sz="0" w:space="0" w:color="auto"/>
        <w:left w:val="none" w:sz="0" w:space="0" w:color="auto"/>
        <w:bottom w:val="none" w:sz="0" w:space="0" w:color="auto"/>
        <w:right w:val="none" w:sz="0" w:space="0" w:color="auto"/>
      </w:divBdr>
    </w:div>
    <w:div w:id="1675642931">
      <w:bodyDiv w:val="1"/>
      <w:marLeft w:val="0"/>
      <w:marRight w:val="0"/>
      <w:marTop w:val="0"/>
      <w:marBottom w:val="0"/>
      <w:divBdr>
        <w:top w:val="none" w:sz="0" w:space="0" w:color="auto"/>
        <w:left w:val="none" w:sz="0" w:space="0" w:color="auto"/>
        <w:bottom w:val="none" w:sz="0" w:space="0" w:color="auto"/>
        <w:right w:val="none" w:sz="0" w:space="0" w:color="auto"/>
      </w:divBdr>
    </w:div>
    <w:div w:id="1681619685">
      <w:bodyDiv w:val="1"/>
      <w:marLeft w:val="0"/>
      <w:marRight w:val="0"/>
      <w:marTop w:val="0"/>
      <w:marBottom w:val="0"/>
      <w:divBdr>
        <w:top w:val="none" w:sz="0" w:space="0" w:color="auto"/>
        <w:left w:val="none" w:sz="0" w:space="0" w:color="auto"/>
        <w:bottom w:val="none" w:sz="0" w:space="0" w:color="auto"/>
        <w:right w:val="none" w:sz="0" w:space="0" w:color="auto"/>
      </w:divBdr>
    </w:div>
    <w:div w:id="1701470677">
      <w:bodyDiv w:val="1"/>
      <w:marLeft w:val="0"/>
      <w:marRight w:val="0"/>
      <w:marTop w:val="0"/>
      <w:marBottom w:val="0"/>
      <w:divBdr>
        <w:top w:val="none" w:sz="0" w:space="0" w:color="auto"/>
        <w:left w:val="none" w:sz="0" w:space="0" w:color="auto"/>
        <w:bottom w:val="none" w:sz="0" w:space="0" w:color="auto"/>
        <w:right w:val="none" w:sz="0" w:space="0" w:color="auto"/>
      </w:divBdr>
      <w:divsChild>
        <w:div w:id="734086662">
          <w:marLeft w:val="0"/>
          <w:marRight w:val="0"/>
          <w:marTop w:val="0"/>
          <w:marBottom w:val="0"/>
          <w:divBdr>
            <w:top w:val="none" w:sz="0" w:space="0" w:color="auto"/>
            <w:left w:val="none" w:sz="0" w:space="0" w:color="auto"/>
            <w:bottom w:val="none" w:sz="0" w:space="0" w:color="auto"/>
            <w:right w:val="none" w:sz="0" w:space="0" w:color="auto"/>
          </w:divBdr>
          <w:divsChild>
            <w:div w:id="164591797">
              <w:marLeft w:val="0"/>
              <w:marRight w:val="0"/>
              <w:marTop w:val="0"/>
              <w:marBottom w:val="0"/>
              <w:divBdr>
                <w:top w:val="single" w:sz="2" w:space="0" w:color="auto"/>
                <w:left w:val="single" w:sz="2" w:space="0" w:color="auto"/>
                <w:bottom w:val="single" w:sz="2" w:space="0" w:color="auto"/>
                <w:right w:val="single" w:sz="2" w:space="0" w:color="auto"/>
              </w:divBdr>
              <w:divsChild>
                <w:div w:id="109475845">
                  <w:marLeft w:val="0"/>
                  <w:marRight w:val="0"/>
                  <w:marTop w:val="0"/>
                  <w:marBottom w:val="0"/>
                  <w:divBdr>
                    <w:top w:val="single" w:sz="2" w:space="0" w:color="auto"/>
                    <w:left w:val="single" w:sz="2" w:space="0" w:color="auto"/>
                    <w:bottom w:val="single" w:sz="2" w:space="0" w:color="auto"/>
                    <w:right w:val="single" w:sz="2" w:space="0" w:color="auto"/>
                  </w:divBdr>
                </w:div>
                <w:div w:id="26466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23092">
      <w:bodyDiv w:val="1"/>
      <w:marLeft w:val="0"/>
      <w:marRight w:val="0"/>
      <w:marTop w:val="0"/>
      <w:marBottom w:val="0"/>
      <w:divBdr>
        <w:top w:val="none" w:sz="0" w:space="0" w:color="auto"/>
        <w:left w:val="none" w:sz="0" w:space="0" w:color="auto"/>
        <w:bottom w:val="none" w:sz="0" w:space="0" w:color="auto"/>
        <w:right w:val="none" w:sz="0" w:space="0" w:color="auto"/>
      </w:divBdr>
    </w:div>
    <w:div w:id="1724208806">
      <w:bodyDiv w:val="1"/>
      <w:marLeft w:val="0"/>
      <w:marRight w:val="0"/>
      <w:marTop w:val="0"/>
      <w:marBottom w:val="0"/>
      <w:divBdr>
        <w:top w:val="none" w:sz="0" w:space="0" w:color="auto"/>
        <w:left w:val="none" w:sz="0" w:space="0" w:color="auto"/>
        <w:bottom w:val="none" w:sz="0" w:space="0" w:color="auto"/>
        <w:right w:val="none" w:sz="0" w:space="0" w:color="auto"/>
      </w:divBdr>
    </w:div>
    <w:div w:id="1729107132">
      <w:bodyDiv w:val="1"/>
      <w:marLeft w:val="0"/>
      <w:marRight w:val="0"/>
      <w:marTop w:val="0"/>
      <w:marBottom w:val="0"/>
      <w:divBdr>
        <w:top w:val="none" w:sz="0" w:space="0" w:color="auto"/>
        <w:left w:val="none" w:sz="0" w:space="0" w:color="auto"/>
        <w:bottom w:val="none" w:sz="0" w:space="0" w:color="auto"/>
        <w:right w:val="none" w:sz="0" w:space="0" w:color="auto"/>
      </w:divBdr>
    </w:div>
    <w:div w:id="1730229910">
      <w:bodyDiv w:val="1"/>
      <w:marLeft w:val="0"/>
      <w:marRight w:val="0"/>
      <w:marTop w:val="0"/>
      <w:marBottom w:val="0"/>
      <w:divBdr>
        <w:top w:val="none" w:sz="0" w:space="0" w:color="auto"/>
        <w:left w:val="none" w:sz="0" w:space="0" w:color="auto"/>
        <w:bottom w:val="none" w:sz="0" w:space="0" w:color="auto"/>
        <w:right w:val="none" w:sz="0" w:space="0" w:color="auto"/>
      </w:divBdr>
    </w:div>
    <w:div w:id="1733503786">
      <w:bodyDiv w:val="1"/>
      <w:marLeft w:val="0"/>
      <w:marRight w:val="0"/>
      <w:marTop w:val="0"/>
      <w:marBottom w:val="0"/>
      <w:divBdr>
        <w:top w:val="none" w:sz="0" w:space="0" w:color="auto"/>
        <w:left w:val="none" w:sz="0" w:space="0" w:color="auto"/>
        <w:bottom w:val="none" w:sz="0" w:space="0" w:color="auto"/>
        <w:right w:val="none" w:sz="0" w:space="0" w:color="auto"/>
      </w:divBdr>
      <w:divsChild>
        <w:div w:id="595990185">
          <w:marLeft w:val="0"/>
          <w:marRight w:val="0"/>
          <w:marTop w:val="120"/>
          <w:marBottom w:val="0"/>
          <w:divBdr>
            <w:top w:val="none" w:sz="0" w:space="0" w:color="auto"/>
            <w:left w:val="none" w:sz="0" w:space="0" w:color="auto"/>
            <w:bottom w:val="none" w:sz="0" w:space="0" w:color="auto"/>
            <w:right w:val="none" w:sz="0" w:space="0" w:color="auto"/>
          </w:divBdr>
        </w:div>
        <w:div w:id="607737411">
          <w:marLeft w:val="0"/>
          <w:marRight w:val="0"/>
          <w:marTop w:val="0"/>
          <w:marBottom w:val="120"/>
          <w:divBdr>
            <w:top w:val="none" w:sz="0" w:space="0" w:color="auto"/>
            <w:left w:val="none" w:sz="0" w:space="0" w:color="auto"/>
            <w:bottom w:val="none" w:sz="0" w:space="0" w:color="auto"/>
            <w:right w:val="none" w:sz="0" w:space="0" w:color="auto"/>
          </w:divBdr>
        </w:div>
        <w:div w:id="2024043629">
          <w:marLeft w:val="0"/>
          <w:marRight w:val="0"/>
          <w:marTop w:val="120"/>
          <w:marBottom w:val="0"/>
          <w:divBdr>
            <w:top w:val="none" w:sz="0" w:space="0" w:color="auto"/>
            <w:left w:val="none" w:sz="0" w:space="0" w:color="auto"/>
            <w:bottom w:val="none" w:sz="0" w:space="0" w:color="auto"/>
            <w:right w:val="none" w:sz="0" w:space="0" w:color="auto"/>
          </w:divBdr>
        </w:div>
      </w:divsChild>
    </w:div>
    <w:div w:id="1737120401">
      <w:bodyDiv w:val="1"/>
      <w:marLeft w:val="0"/>
      <w:marRight w:val="0"/>
      <w:marTop w:val="0"/>
      <w:marBottom w:val="0"/>
      <w:divBdr>
        <w:top w:val="none" w:sz="0" w:space="0" w:color="auto"/>
        <w:left w:val="none" w:sz="0" w:space="0" w:color="auto"/>
        <w:bottom w:val="none" w:sz="0" w:space="0" w:color="auto"/>
        <w:right w:val="none" w:sz="0" w:space="0" w:color="auto"/>
      </w:divBdr>
    </w:div>
    <w:div w:id="1739597928">
      <w:bodyDiv w:val="1"/>
      <w:marLeft w:val="0"/>
      <w:marRight w:val="0"/>
      <w:marTop w:val="0"/>
      <w:marBottom w:val="0"/>
      <w:divBdr>
        <w:top w:val="none" w:sz="0" w:space="0" w:color="auto"/>
        <w:left w:val="none" w:sz="0" w:space="0" w:color="auto"/>
        <w:bottom w:val="none" w:sz="0" w:space="0" w:color="auto"/>
        <w:right w:val="none" w:sz="0" w:space="0" w:color="auto"/>
      </w:divBdr>
    </w:div>
    <w:div w:id="1756054514">
      <w:bodyDiv w:val="1"/>
      <w:marLeft w:val="0"/>
      <w:marRight w:val="0"/>
      <w:marTop w:val="0"/>
      <w:marBottom w:val="0"/>
      <w:divBdr>
        <w:top w:val="none" w:sz="0" w:space="0" w:color="auto"/>
        <w:left w:val="none" w:sz="0" w:space="0" w:color="auto"/>
        <w:bottom w:val="none" w:sz="0" w:space="0" w:color="auto"/>
        <w:right w:val="none" w:sz="0" w:space="0" w:color="auto"/>
      </w:divBdr>
    </w:div>
    <w:div w:id="1761218112">
      <w:bodyDiv w:val="1"/>
      <w:marLeft w:val="0"/>
      <w:marRight w:val="0"/>
      <w:marTop w:val="0"/>
      <w:marBottom w:val="0"/>
      <w:divBdr>
        <w:top w:val="none" w:sz="0" w:space="0" w:color="auto"/>
        <w:left w:val="none" w:sz="0" w:space="0" w:color="auto"/>
        <w:bottom w:val="none" w:sz="0" w:space="0" w:color="auto"/>
        <w:right w:val="none" w:sz="0" w:space="0" w:color="auto"/>
      </w:divBdr>
    </w:div>
    <w:div w:id="1782600755">
      <w:bodyDiv w:val="1"/>
      <w:marLeft w:val="0"/>
      <w:marRight w:val="0"/>
      <w:marTop w:val="0"/>
      <w:marBottom w:val="0"/>
      <w:divBdr>
        <w:top w:val="none" w:sz="0" w:space="0" w:color="auto"/>
        <w:left w:val="none" w:sz="0" w:space="0" w:color="auto"/>
        <w:bottom w:val="none" w:sz="0" w:space="0" w:color="auto"/>
        <w:right w:val="none" w:sz="0" w:space="0" w:color="auto"/>
      </w:divBdr>
    </w:div>
    <w:div w:id="1785688078">
      <w:bodyDiv w:val="1"/>
      <w:marLeft w:val="0"/>
      <w:marRight w:val="0"/>
      <w:marTop w:val="0"/>
      <w:marBottom w:val="0"/>
      <w:divBdr>
        <w:top w:val="none" w:sz="0" w:space="0" w:color="auto"/>
        <w:left w:val="none" w:sz="0" w:space="0" w:color="auto"/>
        <w:bottom w:val="none" w:sz="0" w:space="0" w:color="auto"/>
        <w:right w:val="none" w:sz="0" w:space="0" w:color="auto"/>
      </w:divBdr>
    </w:div>
    <w:div w:id="1796099157">
      <w:bodyDiv w:val="1"/>
      <w:marLeft w:val="0"/>
      <w:marRight w:val="0"/>
      <w:marTop w:val="0"/>
      <w:marBottom w:val="0"/>
      <w:divBdr>
        <w:top w:val="none" w:sz="0" w:space="0" w:color="auto"/>
        <w:left w:val="none" w:sz="0" w:space="0" w:color="auto"/>
        <w:bottom w:val="none" w:sz="0" w:space="0" w:color="auto"/>
        <w:right w:val="none" w:sz="0" w:space="0" w:color="auto"/>
      </w:divBdr>
    </w:div>
    <w:div w:id="1805006479">
      <w:bodyDiv w:val="1"/>
      <w:marLeft w:val="0"/>
      <w:marRight w:val="0"/>
      <w:marTop w:val="0"/>
      <w:marBottom w:val="0"/>
      <w:divBdr>
        <w:top w:val="none" w:sz="0" w:space="0" w:color="auto"/>
        <w:left w:val="none" w:sz="0" w:space="0" w:color="auto"/>
        <w:bottom w:val="none" w:sz="0" w:space="0" w:color="auto"/>
        <w:right w:val="none" w:sz="0" w:space="0" w:color="auto"/>
      </w:divBdr>
    </w:div>
    <w:div w:id="1806044232">
      <w:bodyDiv w:val="1"/>
      <w:marLeft w:val="0"/>
      <w:marRight w:val="0"/>
      <w:marTop w:val="0"/>
      <w:marBottom w:val="0"/>
      <w:divBdr>
        <w:top w:val="none" w:sz="0" w:space="0" w:color="auto"/>
        <w:left w:val="none" w:sz="0" w:space="0" w:color="auto"/>
        <w:bottom w:val="none" w:sz="0" w:space="0" w:color="auto"/>
        <w:right w:val="none" w:sz="0" w:space="0" w:color="auto"/>
      </w:divBdr>
    </w:div>
    <w:div w:id="1821842544">
      <w:bodyDiv w:val="1"/>
      <w:marLeft w:val="0"/>
      <w:marRight w:val="0"/>
      <w:marTop w:val="0"/>
      <w:marBottom w:val="0"/>
      <w:divBdr>
        <w:top w:val="none" w:sz="0" w:space="0" w:color="auto"/>
        <w:left w:val="none" w:sz="0" w:space="0" w:color="auto"/>
        <w:bottom w:val="none" w:sz="0" w:space="0" w:color="auto"/>
        <w:right w:val="none" w:sz="0" w:space="0" w:color="auto"/>
      </w:divBdr>
    </w:div>
    <w:div w:id="1835222810">
      <w:bodyDiv w:val="1"/>
      <w:marLeft w:val="0"/>
      <w:marRight w:val="0"/>
      <w:marTop w:val="0"/>
      <w:marBottom w:val="0"/>
      <w:divBdr>
        <w:top w:val="none" w:sz="0" w:space="0" w:color="auto"/>
        <w:left w:val="none" w:sz="0" w:space="0" w:color="auto"/>
        <w:bottom w:val="none" w:sz="0" w:space="0" w:color="auto"/>
        <w:right w:val="none" w:sz="0" w:space="0" w:color="auto"/>
      </w:divBdr>
    </w:div>
    <w:div w:id="1836728123">
      <w:bodyDiv w:val="1"/>
      <w:marLeft w:val="0"/>
      <w:marRight w:val="0"/>
      <w:marTop w:val="0"/>
      <w:marBottom w:val="0"/>
      <w:divBdr>
        <w:top w:val="none" w:sz="0" w:space="0" w:color="auto"/>
        <w:left w:val="none" w:sz="0" w:space="0" w:color="auto"/>
        <w:bottom w:val="none" w:sz="0" w:space="0" w:color="auto"/>
        <w:right w:val="none" w:sz="0" w:space="0" w:color="auto"/>
      </w:divBdr>
    </w:div>
    <w:div w:id="1843427488">
      <w:bodyDiv w:val="1"/>
      <w:marLeft w:val="0"/>
      <w:marRight w:val="0"/>
      <w:marTop w:val="0"/>
      <w:marBottom w:val="0"/>
      <w:divBdr>
        <w:top w:val="none" w:sz="0" w:space="0" w:color="auto"/>
        <w:left w:val="none" w:sz="0" w:space="0" w:color="auto"/>
        <w:bottom w:val="none" w:sz="0" w:space="0" w:color="auto"/>
        <w:right w:val="none" w:sz="0" w:space="0" w:color="auto"/>
      </w:divBdr>
    </w:div>
    <w:div w:id="1846700845">
      <w:bodyDiv w:val="1"/>
      <w:marLeft w:val="0"/>
      <w:marRight w:val="0"/>
      <w:marTop w:val="0"/>
      <w:marBottom w:val="0"/>
      <w:divBdr>
        <w:top w:val="none" w:sz="0" w:space="0" w:color="auto"/>
        <w:left w:val="none" w:sz="0" w:space="0" w:color="auto"/>
        <w:bottom w:val="none" w:sz="0" w:space="0" w:color="auto"/>
        <w:right w:val="none" w:sz="0" w:space="0" w:color="auto"/>
      </w:divBdr>
    </w:div>
    <w:div w:id="1858763747">
      <w:bodyDiv w:val="1"/>
      <w:marLeft w:val="0"/>
      <w:marRight w:val="0"/>
      <w:marTop w:val="0"/>
      <w:marBottom w:val="0"/>
      <w:divBdr>
        <w:top w:val="none" w:sz="0" w:space="0" w:color="auto"/>
        <w:left w:val="none" w:sz="0" w:space="0" w:color="auto"/>
        <w:bottom w:val="none" w:sz="0" w:space="0" w:color="auto"/>
        <w:right w:val="none" w:sz="0" w:space="0" w:color="auto"/>
      </w:divBdr>
    </w:div>
    <w:div w:id="1861772515">
      <w:bodyDiv w:val="1"/>
      <w:marLeft w:val="0"/>
      <w:marRight w:val="0"/>
      <w:marTop w:val="0"/>
      <w:marBottom w:val="0"/>
      <w:divBdr>
        <w:top w:val="none" w:sz="0" w:space="0" w:color="auto"/>
        <w:left w:val="none" w:sz="0" w:space="0" w:color="auto"/>
        <w:bottom w:val="none" w:sz="0" w:space="0" w:color="auto"/>
        <w:right w:val="none" w:sz="0" w:space="0" w:color="auto"/>
      </w:divBdr>
    </w:div>
    <w:div w:id="1874034320">
      <w:bodyDiv w:val="1"/>
      <w:marLeft w:val="0"/>
      <w:marRight w:val="0"/>
      <w:marTop w:val="0"/>
      <w:marBottom w:val="0"/>
      <w:divBdr>
        <w:top w:val="none" w:sz="0" w:space="0" w:color="auto"/>
        <w:left w:val="none" w:sz="0" w:space="0" w:color="auto"/>
        <w:bottom w:val="none" w:sz="0" w:space="0" w:color="auto"/>
        <w:right w:val="none" w:sz="0" w:space="0" w:color="auto"/>
      </w:divBdr>
      <w:divsChild>
        <w:div w:id="1455055041">
          <w:marLeft w:val="0"/>
          <w:marRight w:val="0"/>
          <w:marTop w:val="0"/>
          <w:marBottom w:val="0"/>
          <w:divBdr>
            <w:top w:val="none" w:sz="0" w:space="0" w:color="auto"/>
            <w:left w:val="none" w:sz="0" w:space="0" w:color="auto"/>
            <w:bottom w:val="none" w:sz="0" w:space="0" w:color="auto"/>
            <w:right w:val="none" w:sz="0" w:space="0" w:color="auto"/>
          </w:divBdr>
        </w:div>
      </w:divsChild>
    </w:div>
    <w:div w:id="1877624276">
      <w:bodyDiv w:val="1"/>
      <w:marLeft w:val="0"/>
      <w:marRight w:val="0"/>
      <w:marTop w:val="0"/>
      <w:marBottom w:val="0"/>
      <w:divBdr>
        <w:top w:val="none" w:sz="0" w:space="0" w:color="auto"/>
        <w:left w:val="none" w:sz="0" w:space="0" w:color="auto"/>
        <w:bottom w:val="none" w:sz="0" w:space="0" w:color="auto"/>
        <w:right w:val="none" w:sz="0" w:space="0" w:color="auto"/>
      </w:divBdr>
    </w:div>
    <w:div w:id="1897423814">
      <w:bodyDiv w:val="1"/>
      <w:marLeft w:val="0"/>
      <w:marRight w:val="0"/>
      <w:marTop w:val="0"/>
      <w:marBottom w:val="0"/>
      <w:divBdr>
        <w:top w:val="none" w:sz="0" w:space="0" w:color="auto"/>
        <w:left w:val="none" w:sz="0" w:space="0" w:color="auto"/>
        <w:bottom w:val="none" w:sz="0" w:space="0" w:color="auto"/>
        <w:right w:val="none" w:sz="0" w:space="0" w:color="auto"/>
      </w:divBdr>
      <w:divsChild>
        <w:div w:id="462817951">
          <w:marLeft w:val="0"/>
          <w:marRight w:val="0"/>
          <w:marTop w:val="0"/>
          <w:marBottom w:val="0"/>
          <w:divBdr>
            <w:top w:val="none" w:sz="0" w:space="0" w:color="auto"/>
            <w:left w:val="none" w:sz="0" w:space="0" w:color="auto"/>
            <w:bottom w:val="none" w:sz="0" w:space="0" w:color="auto"/>
            <w:right w:val="none" w:sz="0" w:space="0" w:color="auto"/>
          </w:divBdr>
        </w:div>
      </w:divsChild>
    </w:div>
    <w:div w:id="1918516834">
      <w:bodyDiv w:val="1"/>
      <w:marLeft w:val="0"/>
      <w:marRight w:val="0"/>
      <w:marTop w:val="0"/>
      <w:marBottom w:val="0"/>
      <w:divBdr>
        <w:top w:val="none" w:sz="0" w:space="0" w:color="auto"/>
        <w:left w:val="none" w:sz="0" w:space="0" w:color="auto"/>
        <w:bottom w:val="none" w:sz="0" w:space="0" w:color="auto"/>
        <w:right w:val="none" w:sz="0" w:space="0" w:color="auto"/>
      </w:divBdr>
    </w:div>
    <w:div w:id="1921522556">
      <w:bodyDiv w:val="1"/>
      <w:marLeft w:val="0"/>
      <w:marRight w:val="0"/>
      <w:marTop w:val="0"/>
      <w:marBottom w:val="0"/>
      <w:divBdr>
        <w:top w:val="none" w:sz="0" w:space="0" w:color="auto"/>
        <w:left w:val="none" w:sz="0" w:space="0" w:color="auto"/>
        <w:bottom w:val="none" w:sz="0" w:space="0" w:color="auto"/>
        <w:right w:val="none" w:sz="0" w:space="0" w:color="auto"/>
      </w:divBdr>
    </w:div>
    <w:div w:id="1942949120">
      <w:bodyDiv w:val="1"/>
      <w:marLeft w:val="0"/>
      <w:marRight w:val="0"/>
      <w:marTop w:val="0"/>
      <w:marBottom w:val="0"/>
      <w:divBdr>
        <w:top w:val="none" w:sz="0" w:space="0" w:color="auto"/>
        <w:left w:val="none" w:sz="0" w:space="0" w:color="auto"/>
        <w:bottom w:val="none" w:sz="0" w:space="0" w:color="auto"/>
        <w:right w:val="none" w:sz="0" w:space="0" w:color="auto"/>
      </w:divBdr>
    </w:div>
    <w:div w:id="1959681970">
      <w:bodyDiv w:val="1"/>
      <w:marLeft w:val="0"/>
      <w:marRight w:val="0"/>
      <w:marTop w:val="0"/>
      <w:marBottom w:val="0"/>
      <w:divBdr>
        <w:top w:val="none" w:sz="0" w:space="0" w:color="auto"/>
        <w:left w:val="none" w:sz="0" w:space="0" w:color="auto"/>
        <w:bottom w:val="none" w:sz="0" w:space="0" w:color="auto"/>
        <w:right w:val="none" w:sz="0" w:space="0" w:color="auto"/>
      </w:divBdr>
    </w:div>
    <w:div w:id="1976374572">
      <w:bodyDiv w:val="1"/>
      <w:marLeft w:val="0"/>
      <w:marRight w:val="0"/>
      <w:marTop w:val="0"/>
      <w:marBottom w:val="0"/>
      <w:divBdr>
        <w:top w:val="none" w:sz="0" w:space="0" w:color="auto"/>
        <w:left w:val="none" w:sz="0" w:space="0" w:color="auto"/>
        <w:bottom w:val="none" w:sz="0" w:space="0" w:color="auto"/>
        <w:right w:val="none" w:sz="0" w:space="0" w:color="auto"/>
      </w:divBdr>
    </w:div>
    <w:div w:id="2001158038">
      <w:bodyDiv w:val="1"/>
      <w:marLeft w:val="0"/>
      <w:marRight w:val="0"/>
      <w:marTop w:val="0"/>
      <w:marBottom w:val="0"/>
      <w:divBdr>
        <w:top w:val="none" w:sz="0" w:space="0" w:color="auto"/>
        <w:left w:val="none" w:sz="0" w:space="0" w:color="auto"/>
        <w:bottom w:val="none" w:sz="0" w:space="0" w:color="auto"/>
        <w:right w:val="none" w:sz="0" w:space="0" w:color="auto"/>
      </w:divBdr>
      <w:divsChild>
        <w:div w:id="240911043">
          <w:marLeft w:val="0"/>
          <w:marRight w:val="0"/>
          <w:marTop w:val="0"/>
          <w:marBottom w:val="0"/>
          <w:divBdr>
            <w:top w:val="none" w:sz="0" w:space="0" w:color="auto"/>
            <w:left w:val="none" w:sz="0" w:space="0" w:color="auto"/>
            <w:bottom w:val="none" w:sz="0" w:space="0" w:color="auto"/>
            <w:right w:val="none" w:sz="0" w:space="0" w:color="auto"/>
          </w:divBdr>
        </w:div>
      </w:divsChild>
    </w:div>
    <w:div w:id="2007635876">
      <w:bodyDiv w:val="1"/>
      <w:marLeft w:val="0"/>
      <w:marRight w:val="0"/>
      <w:marTop w:val="0"/>
      <w:marBottom w:val="0"/>
      <w:divBdr>
        <w:top w:val="none" w:sz="0" w:space="0" w:color="auto"/>
        <w:left w:val="none" w:sz="0" w:space="0" w:color="auto"/>
        <w:bottom w:val="none" w:sz="0" w:space="0" w:color="auto"/>
        <w:right w:val="none" w:sz="0" w:space="0" w:color="auto"/>
      </w:divBdr>
      <w:divsChild>
        <w:div w:id="2048601578">
          <w:marLeft w:val="0"/>
          <w:marRight w:val="0"/>
          <w:marTop w:val="0"/>
          <w:marBottom w:val="0"/>
          <w:divBdr>
            <w:top w:val="none" w:sz="0" w:space="0" w:color="auto"/>
            <w:left w:val="none" w:sz="0" w:space="0" w:color="auto"/>
            <w:bottom w:val="none" w:sz="0" w:space="0" w:color="auto"/>
            <w:right w:val="none" w:sz="0" w:space="0" w:color="auto"/>
          </w:divBdr>
          <w:divsChild>
            <w:div w:id="937909295">
              <w:marLeft w:val="0"/>
              <w:marRight w:val="0"/>
              <w:marTop w:val="0"/>
              <w:marBottom w:val="0"/>
              <w:divBdr>
                <w:top w:val="single" w:sz="2" w:space="0" w:color="auto"/>
                <w:left w:val="single" w:sz="2" w:space="0" w:color="auto"/>
                <w:bottom w:val="single" w:sz="2" w:space="0" w:color="auto"/>
                <w:right w:val="single" w:sz="2" w:space="0" w:color="auto"/>
              </w:divBdr>
              <w:divsChild>
                <w:div w:id="126896975">
                  <w:marLeft w:val="0"/>
                  <w:marRight w:val="0"/>
                  <w:marTop w:val="0"/>
                  <w:marBottom w:val="0"/>
                  <w:divBdr>
                    <w:top w:val="single" w:sz="2" w:space="0" w:color="auto"/>
                    <w:left w:val="single" w:sz="2" w:space="0" w:color="auto"/>
                    <w:bottom w:val="single" w:sz="2" w:space="0" w:color="auto"/>
                    <w:right w:val="single" w:sz="2" w:space="0" w:color="auto"/>
                  </w:divBdr>
                </w:div>
                <w:div w:id="197421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945956">
      <w:bodyDiv w:val="1"/>
      <w:marLeft w:val="0"/>
      <w:marRight w:val="0"/>
      <w:marTop w:val="0"/>
      <w:marBottom w:val="0"/>
      <w:divBdr>
        <w:top w:val="none" w:sz="0" w:space="0" w:color="auto"/>
        <w:left w:val="none" w:sz="0" w:space="0" w:color="auto"/>
        <w:bottom w:val="none" w:sz="0" w:space="0" w:color="auto"/>
        <w:right w:val="none" w:sz="0" w:space="0" w:color="auto"/>
      </w:divBdr>
    </w:div>
    <w:div w:id="2027751223">
      <w:bodyDiv w:val="1"/>
      <w:marLeft w:val="0"/>
      <w:marRight w:val="0"/>
      <w:marTop w:val="0"/>
      <w:marBottom w:val="0"/>
      <w:divBdr>
        <w:top w:val="none" w:sz="0" w:space="0" w:color="auto"/>
        <w:left w:val="none" w:sz="0" w:space="0" w:color="auto"/>
        <w:bottom w:val="none" w:sz="0" w:space="0" w:color="auto"/>
        <w:right w:val="none" w:sz="0" w:space="0" w:color="auto"/>
      </w:divBdr>
    </w:div>
    <w:div w:id="2033729063">
      <w:bodyDiv w:val="1"/>
      <w:marLeft w:val="0"/>
      <w:marRight w:val="0"/>
      <w:marTop w:val="0"/>
      <w:marBottom w:val="0"/>
      <w:divBdr>
        <w:top w:val="none" w:sz="0" w:space="0" w:color="auto"/>
        <w:left w:val="none" w:sz="0" w:space="0" w:color="auto"/>
        <w:bottom w:val="none" w:sz="0" w:space="0" w:color="auto"/>
        <w:right w:val="none" w:sz="0" w:space="0" w:color="auto"/>
      </w:divBdr>
    </w:div>
    <w:div w:id="2048093109">
      <w:bodyDiv w:val="1"/>
      <w:marLeft w:val="0"/>
      <w:marRight w:val="0"/>
      <w:marTop w:val="0"/>
      <w:marBottom w:val="0"/>
      <w:divBdr>
        <w:top w:val="none" w:sz="0" w:space="0" w:color="auto"/>
        <w:left w:val="none" w:sz="0" w:space="0" w:color="auto"/>
        <w:bottom w:val="none" w:sz="0" w:space="0" w:color="auto"/>
        <w:right w:val="none" w:sz="0" w:space="0" w:color="auto"/>
      </w:divBdr>
    </w:div>
    <w:div w:id="2053730247">
      <w:bodyDiv w:val="1"/>
      <w:marLeft w:val="0"/>
      <w:marRight w:val="0"/>
      <w:marTop w:val="0"/>
      <w:marBottom w:val="0"/>
      <w:divBdr>
        <w:top w:val="none" w:sz="0" w:space="0" w:color="auto"/>
        <w:left w:val="none" w:sz="0" w:space="0" w:color="auto"/>
        <w:bottom w:val="none" w:sz="0" w:space="0" w:color="auto"/>
        <w:right w:val="none" w:sz="0" w:space="0" w:color="auto"/>
      </w:divBdr>
    </w:div>
    <w:div w:id="2064329941">
      <w:bodyDiv w:val="1"/>
      <w:marLeft w:val="0"/>
      <w:marRight w:val="0"/>
      <w:marTop w:val="0"/>
      <w:marBottom w:val="0"/>
      <w:divBdr>
        <w:top w:val="none" w:sz="0" w:space="0" w:color="auto"/>
        <w:left w:val="none" w:sz="0" w:space="0" w:color="auto"/>
        <w:bottom w:val="none" w:sz="0" w:space="0" w:color="auto"/>
        <w:right w:val="none" w:sz="0" w:space="0" w:color="auto"/>
      </w:divBdr>
    </w:div>
    <w:div w:id="2064602099">
      <w:bodyDiv w:val="1"/>
      <w:marLeft w:val="0"/>
      <w:marRight w:val="0"/>
      <w:marTop w:val="0"/>
      <w:marBottom w:val="0"/>
      <w:divBdr>
        <w:top w:val="none" w:sz="0" w:space="0" w:color="auto"/>
        <w:left w:val="none" w:sz="0" w:space="0" w:color="auto"/>
        <w:bottom w:val="none" w:sz="0" w:space="0" w:color="auto"/>
        <w:right w:val="none" w:sz="0" w:space="0" w:color="auto"/>
      </w:divBdr>
    </w:div>
    <w:div w:id="2081906958">
      <w:bodyDiv w:val="1"/>
      <w:marLeft w:val="0"/>
      <w:marRight w:val="0"/>
      <w:marTop w:val="0"/>
      <w:marBottom w:val="0"/>
      <w:divBdr>
        <w:top w:val="none" w:sz="0" w:space="0" w:color="auto"/>
        <w:left w:val="none" w:sz="0" w:space="0" w:color="auto"/>
        <w:bottom w:val="none" w:sz="0" w:space="0" w:color="auto"/>
        <w:right w:val="none" w:sz="0" w:space="0" w:color="auto"/>
      </w:divBdr>
      <w:divsChild>
        <w:div w:id="614942918">
          <w:marLeft w:val="0"/>
          <w:marRight w:val="0"/>
          <w:marTop w:val="0"/>
          <w:marBottom w:val="0"/>
          <w:divBdr>
            <w:top w:val="none" w:sz="0" w:space="0" w:color="auto"/>
            <w:left w:val="none" w:sz="0" w:space="0" w:color="auto"/>
            <w:bottom w:val="none" w:sz="0" w:space="0" w:color="auto"/>
            <w:right w:val="none" w:sz="0" w:space="0" w:color="auto"/>
          </w:divBdr>
          <w:divsChild>
            <w:div w:id="1056320839">
              <w:marLeft w:val="0"/>
              <w:marRight w:val="0"/>
              <w:marTop w:val="0"/>
              <w:marBottom w:val="0"/>
              <w:divBdr>
                <w:top w:val="single" w:sz="6" w:space="0" w:color="DDDDDD"/>
                <w:left w:val="single" w:sz="6" w:space="0" w:color="DDDDDD"/>
                <w:bottom w:val="single" w:sz="6" w:space="0" w:color="DDDDDD"/>
                <w:right w:val="single" w:sz="6" w:space="0" w:color="DDDDDD"/>
              </w:divBdr>
              <w:divsChild>
                <w:div w:id="1726753713">
                  <w:marLeft w:val="0"/>
                  <w:marRight w:val="0"/>
                  <w:marTop w:val="0"/>
                  <w:marBottom w:val="0"/>
                  <w:divBdr>
                    <w:top w:val="none" w:sz="0" w:space="0" w:color="auto"/>
                    <w:left w:val="none" w:sz="0" w:space="0" w:color="auto"/>
                    <w:bottom w:val="none" w:sz="0" w:space="0" w:color="auto"/>
                    <w:right w:val="none" w:sz="0" w:space="0" w:color="auto"/>
                  </w:divBdr>
                  <w:divsChild>
                    <w:div w:id="64189304">
                      <w:marLeft w:val="0"/>
                      <w:marRight w:val="0"/>
                      <w:marTop w:val="0"/>
                      <w:marBottom w:val="0"/>
                      <w:divBdr>
                        <w:top w:val="single" w:sz="6" w:space="11" w:color="DDDDDD"/>
                        <w:left w:val="none" w:sz="0" w:space="0" w:color="auto"/>
                        <w:bottom w:val="none" w:sz="0" w:space="0" w:color="auto"/>
                        <w:right w:val="none" w:sz="0" w:space="0" w:color="auto"/>
                      </w:divBdr>
                    </w:div>
                  </w:divsChild>
                </w:div>
                <w:div w:id="2126075406">
                  <w:marLeft w:val="0"/>
                  <w:marRight w:val="0"/>
                  <w:marTop w:val="0"/>
                  <w:marBottom w:val="0"/>
                  <w:divBdr>
                    <w:top w:val="none" w:sz="0" w:space="8" w:color="DDDDDD"/>
                    <w:left w:val="none" w:sz="0" w:space="11" w:color="DDDDDD"/>
                    <w:bottom w:val="none" w:sz="0" w:space="0" w:color="auto"/>
                    <w:right w:val="none" w:sz="0" w:space="11" w:color="DDDDDD"/>
                  </w:divBdr>
                </w:div>
              </w:divsChild>
            </w:div>
          </w:divsChild>
        </w:div>
      </w:divsChild>
    </w:div>
    <w:div w:id="2121027238">
      <w:bodyDiv w:val="1"/>
      <w:marLeft w:val="0"/>
      <w:marRight w:val="0"/>
      <w:marTop w:val="0"/>
      <w:marBottom w:val="0"/>
      <w:divBdr>
        <w:top w:val="none" w:sz="0" w:space="0" w:color="auto"/>
        <w:left w:val="none" w:sz="0" w:space="0" w:color="auto"/>
        <w:bottom w:val="none" w:sz="0" w:space="0" w:color="auto"/>
        <w:right w:val="none" w:sz="0" w:space="0" w:color="auto"/>
      </w:divBdr>
      <w:divsChild>
        <w:div w:id="167251675">
          <w:marLeft w:val="0"/>
          <w:marRight w:val="0"/>
          <w:marTop w:val="0"/>
          <w:marBottom w:val="0"/>
          <w:divBdr>
            <w:top w:val="none" w:sz="0" w:space="0" w:color="auto"/>
            <w:left w:val="none" w:sz="0" w:space="0" w:color="auto"/>
            <w:bottom w:val="none" w:sz="0" w:space="0" w:color="auto"/>
            <w:right w:val="none" w:sz="0" w:space="0" w:color="auto"/>
          </w:divBdr>
          <w:divsChild>
            <w:div w:id="280917720">
              <w:marLeft w:val="0"/>
              <w:marRight w:val="0"/>
              <w:marTop w:val="0"/>
              <w:marBottom w:val="0"/>
              <w:divBdr>
                <w:top w:val="none" w:sz="0" w:space="0" w:color="auto"/>
                <w:left w:val="none" w:sz="0" w:space="0" w:color="auto"/>
                <w:bottom w:val="none" w:sz="0" w:space="0" w:color="auto"/>
                <w:right w:val="none" w:sz="0" w:space="0" w:color="auto"/>
              </w:divBdr>
            </w:div>
          </w:divsChild>
        </w:div>
        <w:div w:id="1247811089">
          <w:marLeft w:val="0"/>
          <w:marRight w:val="0"/>
          <w:marTop w:val="0"/>
          <w:marBottom w:val="360"/>
          <w:divBdr>
            <w:top w:val="none" w:sz="0" w:space="0" w:color="auto"/>
            <w:left w:val="none" w:sz="0" w:space="0" w:color="auto"/>
            <w:bottom w:val="none" w:sz="0" w:space="0" w:color="auto"/>
            <w:right w:val="none" w:sz="0" w:space="0" w:color="auto"/>
          </w:divBdr>
          <w:divsChild>
            <w:div w:id="41485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4C75E-92FE-4DAD-ABFE-40C2A0725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842</Words>
  <Characters>4804</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5635</CharactersWithSpaces>
  <SharedDoc>false</SharedDoc>
  <HLinks>
    <vt:vector size="30" baseType="variant">
      <vt:variant>
        <vt:i4>5111891</vt:i4>
      </vt:variant>
      <vt:variant>
        <vt:i4>12</vt:i4>
      </vt:variant>
      <vt:variant>
        <vt:i4>0</vt:i4>
      </vt:variant>
      <vt:variant>
        <vt:i4>5</vt:i4>
      </vt:variant>
      <vt:variant>
        <vt:lpwstr>https://www.drugs.com/condition/paroxysmal-nocturnal-hemoglobinuria.html</vt:lpwstr>
      </vt:variant>
      <vt:variant>
        <vt:lpwstr/>
      </vt:variant>
      <vt:variant>
        <vt:i4>5308510</vt:i4>
      </vt:variant>
      <vt:variant>
        <vt:i4>9</vt:i4>
      </vt:variant>
      <vt:variant>
        <vt:i4>0</vt:i4>
      </vt:variant>
      <vt:variant>
        <vt:i4>5</vt:i4>
      </vt:variant>
      <vt:variant>
        <vt:lpwstr>https://bestpractice.bmj.com/topics/en-gb/946/treatment-algorithm</vt:lpwstr>
      </vt:variant>
      <vt:variant>
        <vt:lpwstr/>
      </vt:variant>
      <vt:variant>
        <vt:i4>5308510</vt:i4>
      </vt:variant>
      <vt:variant>
        <vt:i4>6</vt:i4>
      </vt:variant>
      <vt:variant>
        <vt:i4>0</vt:i4>
      </vt:variant>
      <vt:variant>
        <vt:i4>5</vt:i4>
      </vt:variant>
      <vt:variant>
        <vt:lpwstr>https://bestpractice.bmj.com/topics/en-gb/946/treatment-algorithm</vt:lpwstr>
      </vt:variant>
      <vt:variant>
        <vt:lpwstr/>
      </vt:variant>
      <vt:variant>
        <vt:i4>5308510</vt:i4>
      </vt:variant>
      <vt:variant>
        <vt:i4>3</vt:i4>
      </vt:variant>
      <vt:variant>
        <vt:i4>0</vt:i4>
      </vt:variant>
      <vt:variant>
        <vt:i4>5</vt:i4>
      </vt:variant>
      <vt:variant>
        <vt:lpwstr>https://bestpractice.bmj.com/topics/en-gb/946/treatment-algorithm</vt:lpwstr>
      </vt:variant>
      <vt:variant>
        <vt:lpwstr/>
      </vt:variant>
      <vt:variant>
        <vt:i4>5308510</vt:i4>
      </vt:variant>
      <vt:variant>
        <vt:i4>0</vt:i4>
      </vt:variant>
      <vt:variant>
        <vt:i4>0</vt:i4>
      </vt:variant>
      <vt:variant>
        <vt:i4>5</vt:i4>
      </vt:variant>
      <vt:variant>
        <vt:lpwstr>https://bestpractice.bmj.com/topics/en-gb/946/treatment-algorithm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Бахтияр Н. Отыншиев</dc:creator>
  <cp:lastModifiedBy>Владимир Мерзляков</cp:lastModifiedBy>
  <cp:revision>2</cp:revision>
  <cp:lastPrinted>2021-07-14T12:10:00Z</cp:lastPrinted>
  <dcterms:created xsi:type="dcterms:W3CDTF">2025-12-03T09:34:00Z</dcterms:created>
  <dcterms:modified xsi:type="dcterms:W3CDTF">2025-12-03T09:34:00Z</dcterms:modified>
</cp:coreProperties>
</file>