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any of the breakdown instances identified in the conversation. The note focuses on the overall progress and goals of the patient, F.W., in using Alexa for daily tasks and health management, but it does not address the specific communication errors or misunderstandings that occurred during the session.</w:t>
        <w:br/>
        <w:br/>
        <w:t>1. **Instance 1 (Semantic error):** The note does not mention the specific error where Alexa provided a list of doctors instead of allergy medicines.</w:t>
        <w:br/>
        <w:br/>
        <w:t>2. **Instance 2 (Alexa error):** The note does not mention the initial failure of Alexa to understand the command about stomach pains, requiring rephrasing.</w:t>
        <w:br/>
        <w:br/>
        <w:t>3. **Instance 3 (Semantic error):** The note does not mention the misunderstanding where Alexa provided information about police departments instead of a primary care provider.</w:t>
        <w:br/>
        <w:br/>
        <w:t>Given that none of the breakdown instances are mentioned in the SOAP note, the evaluation score is 0 out of 10. The note lacks the necessary detail to address the specific communication issues that occurred during the session, which is critical for a comprehensive and accurate assessment.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