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SOAP note provided does not explicitly mention the specific breakdown instances identified in the conversation transcript. The breakdown instances are:</w:t>
        <w:br/>
        <w:br/>
        <w:t>1. **Instance 1:** No response from Alexa to the initial command.</w:t>
        <w:br/>
        <w:t>2. **Instance 2:** Articulation error leading to misunderstanding by Alexa.</w:t>
        <w:br/>
        <w:t>3. **Instance 3:** Alexa error due to service restrictions.</w:t>
        <w:br/>
        <w:br/>
        <w:t>Upon reviewing the SOAP note, it does not detail these specific communication breakdowns. Instead, it provides a general overview of the patient's interaction with Alexa, focusing on the progress and challenges in using the device. The note mentions the need for pauses between commands and the requirement for caregiver assistance but does not explicitly address the specific instances of communication breakdown.</w:t>
        <w:br/>
        <w:br/>
        <w:t>Given the absence of explicit mention of the identified breakdown instances, the SOAP note would score low on a metric-based evaluation focused on capturing these specific issues. Therefore, the score for the SOAP note, based on the presence of the breakdown instances, would be:</w:t>
        <w:br/>
        <w:br/>
        <w:t xml:space="preserve">**Score: 2/10** </w:t>
        <w:br/>
        <w:br/>
        <w:t>This score reflects the lack of detailed acknowledgment of the specific communication breakdowns identified in the conversation transcript.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