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Upon evaluating the provided SOAP note against the identified communication breakdown instances, the following observations are made:</w:t>
        <w:br/>
        <w:br/>
        <w:t>1. **Articulation error**: The SOAP note does mention the patient's difficulty with Alexa understanding times like "10:30 or 10:40," which aligns with the articulation error identified. This is noted in the Subjective section where the patient reports challenges with Alexa's speech recognition.</w:t>
        <w:br/>
        <w:br/>
        <w:t>2. **Alexa error**: The SOAP note addresses the issue of Alexa's speech recognition challenges in both the Subjective and Objective sections, indicating that the device sometimes misunderstands the patient's commands. This aligns with the identified Alexa error.</w:t>
        <w:br/>
        <w:br/>
        <w:t>Both identified communication breakdown instances are present in the SOAP note. Therefore, the SOAP note accurately reflects the communication issues discussed in the conversation.</w:t>
        <w:br/>
        <w:br/>
        <w:t>Based on the presence of both breakdown instances, the SOAP note is scored as follows:</w:t>
        <w:br/>
        <w:br/>
        <w:t>- **Articulation error**: 5 points</w:t>
        <w:br/>
        <w:t>- **Alexa error**: 5 points</w:t>
        <w:br/>
        <w:br/>
        <w:t>Total Score: 10/10</w:t>
        <w:br/>
        <w:br/>
        <w:t>The SOAP note effectively captures the communication breakdowns identified in the conversation, earning a perfect score.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