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provided breakdown instances from the conversation, the SOAP note should be evaluated for any mention of direct or indirect interactions between the patient and Alexa, as well as any communication breakdowns. The breakdown instances indicate that there are no such interactions or breakdowns to classify.</w:t>
        <w:br/>
        <w:br/>
        <w:t>Upon reviewing the SOAP note:</w:t>
        <w:br/>
        <w:br/>
        <w:t>- **Subjective (S):** The note discusses the patient's interest in using Alexa for daily tasks and her concerns about emergency scenarios, but it does not mention any actual interactions with Alexa or communication breakdowns.</w:t>
        <w:br/>
        <w:t xml:space="preserve">  </w:t>
        <w:br/>
        <w:t>- **Objective (O):** The note outlines the patient's current use of technology and potential scenarios for using Alexa, but again, there are no mentions of interactions or breakdowns.</w:t>
        <w:br/>
        <w:br/>
        <w:t>- **Assessment (A):** The assessment focuses on the patient's willingness to adopt technology and potential areas for improvement, without mentioning any interactions or breakdowns.</w:t>
        <w:br/>
        <w:br/>
        <w:t>- **Plan (P):** The plan includes training and integration with Alexa, communication enhancement, and emergency preparedness, but does not reference any interactions or breakdowns.</w:t>
        <w:br/>
        <w:br/>
        <w:t>Since the SOAP note does not mention any direct or indirect interactions between the patient and Alexa, nor does it address any communication breakdowns, it aligns with the breakdown instances provided, which state that no classification is required.</w:t>
        <w:br/>
        <w:br/>
        <w:t>Therefore, the SOAP note accurately reflects the absence of breakdown instances as per the conversation transcript. Given this alignment, the SOAP note would score a perfect 10 out of 10 for accurately representing the absence of breakdown instances.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