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8A791C3" w14:textId="77777777">
      <w:pPr>
        <w:pBdr/>
        <w:spacing w:after="0" w:line="240" w:lineRule="auto"/>
        <w:ind/>
        <w:jc w:val="center"/>
        <w:rPr>
          <w:rFonts w:ascii="Verdana" w:hAnsi="Verdana"/>
          <w:b/>
          <w:bCs/>
          <w:sz w:val="28"/>
          <w:szCs w:val="28"/>
        </w:rPr>
      </w:pPr>
      <w:r>
        <w:rPr>
          <w:rFonts w:ascii="Verdana" w:hAnsi="Verdana"/>
          <w:b/>
          <w:bCs/>
          <w:sz w:val="28"/>
          <w:szCs w:val="28"/>
        </w:rPr>
        <w:t xml:space="preserve">Web </w:t>
      </w:r>
      <w:r>
        <w:rPr>
          <w:rFonts w:ascii="Verdana" w:hAnsi="Verdana"/>
          <w:b/>
          <w:bCs/>
          <w:sz w:val="28"/>
          <w:szCs w:val="28"/>
        </w:rPr>
        <w:t xml:space="preserve">Application Security </w:t>
      </w:r>
      <w:r>
        <w:rPr>
          <w:rFonts w:ascii="Verdana" w:hAnsi="Verdana"/>
          <w:b/>
          <w:bCs/>
          <w:sz w:val="28"/>
          <w:szCs w:val="28"/>
        </w:rPr>
        <w:t xml:space="preserve">COMPH2704</w:t>
      </w:r>
      <w:r>
        <w:rPr>
          <w:rFonts w:ascii="Verdana" w:hAnsi="Verdana"/>
          <w:b/>
          <w:bCs/>
          <w:sz w:val="28"/>
          <w:szCs w:val="28"/>
        </w:rPr>
      </w:r>
      <w:r>
        <w:rPr>
          <w:rFonts w:ascii="Verdana" w:hAnsi="Verdana"/>
          <w:b/>
          <w:bCs/>
          <w:sz w:val="28"/>
          <w:szCs w:val="28"/>
        </w:rPr>
      </w:r>
    </w:p>
    <w:p w14:paraId="6F8FA680" w14:textId="65101C89">
      <w:pPr>
        <w:pBdr/>
        <w:spacing w:after="0" w:line="240" w:lineRule="auto"/>
        <w:ind/>
        <w:jc w:val="center"/>
        <w:rPr>
          <w:rFonts w:ascii="Verdana" w:hAnsi="Verdana"/>
          <w:sz w:val="28"/>
          <w:szCs w:val="28"/>
        </w:rPr>
      </w:pPr>
      <w:r>
        <w:rPr>
          <w:rFonts w:ascii="Verdana" w:hAnsi="Verdana"/>
          <w:sz w:val="28"/>
          <w:szCs w:val="28"/>
        </w:rPr>
        <w:t xml:space="preserve">Response Sheet</w:t>
      </w:r>
      <w:r>
        <w:rPr>
          <w:rFonts w:ascii="Verdana" w:hAnsi="Verdana"/>
          <w:sz w:val="28"/>
          <w:szCs w:val="28"/>
        </w:rPr>
        <w:t xml:space="preserve"> Week </w:t>
      </w:r>
      <w:r>
        <w:rPr>
          <w:rFonts w:ascii="Verdana" w:hAnsi="Verdana"/>
          <w:sz w:val="28"/>
          <w:szCs w:val="28"/>
        </w:rPr>
        <w:t xml:space="preserve">3</w:t>
      </w:r>
      <w:r>
        <w:rPr>
          <w:rFonts w:ascii="Verdana" w:hAnsi="Verdana"/>
          <w:sz w:val="28"/>
          <w:szCs w:val="28"/>
        </w:rPr>
      </w:r>
      <w:r>
        <w:rPr>
          <w:rFonts w:ascii="Verdana" w:hAnsi="Verdana"/>
          <w:sz w:val="28"/>
          <w:szCs w:val="28"/>
        </w:rPr>
      </w:r>
    </w:p>
    <w:p w14:paraId="7BC03B15" w14:textId="77777777">
      <w:pPr>
        <w:pBdr/>
        <w:spacing w:after="0" w:line="240" w:lineRule="auto"/>
        <w:ind/>
        <w:rPr>
          <w:rFonts w:ascii="Verdana" w:hAnsi="Verdana"/>
          <w:b/>
          <w:bCs/>
          <w:i/>
          <w:iCs/>
        </w:rPr>
      </w:pPr>
      <w:r>
        <w:rPr>
          <w:rFonts w:ascii="Verdana" w:hAnsi="Verdana"/>
          <w:b/>
          <w:bCs/>
          <w:i/>
          <w:iCs/>
        </w:rPr>
      </w:r>
      <w:r>
        <w:rPr>
          <w:rFonts w:ascii="Verdana" w:hAnsi="Verdana"/>
          <w:b/>
          <w:bCs/>
          <w:i/>
          <w:iCs/>
        </w:rPr>
      </w:r>
      <w:r>
        <w:rPr>
          <w:rFonts w:ascii="Verdana" w:hAnsi="Verdana"/>
          <w:b/>
          <w:bCs/>
          <w:i/>
          <w:iCs/>
        </w:rPr>
      </w:r>
    </w:p>
    <w:p w14:paraId="71C1C86B" w14:textId="77777777">
      <w:pPr>
        <w:pBdr/>
        <w:spacing w:after="0" w:line="240" w:lineRule="auto"/>
        <w:ind/>
        <w:rPr>
          <w:rFonts w:ascii="Verdana" w:hAnsi="Verdana"/>
          <w:i/>
          <w:iCs/>
        </w:rPr>
      </w:pPr>
      <w:r>
        <w:rPr>
          <w:rFonts w:ascii="Verdana" w:hAnsi="Verdana"/>
          <w:b/>
          <w:bCs/>
          <w:i/>
          <w:iCs/>
        </w:rPr>
        <w:t xml:space="preserve">Lab Session Group (4-8): </w:t>
      </w:r>
      <w:r>
        <w:rPr>
          <w:rFonts w:ascii="Verdana" w:hAnsi="Verdana"/>
          <w:i/>
          <w:iCs/>
        </w:rPr>
        <w:t xml:space="preserve">Group [</w:t>
      </w:r>
      <w:r>
        <w:rPr>
          <w:rFonts w:ascii="Verdana" w:hAnsi="Verdana"/>
          <w:i/>
          <w:iCs/>
          <w:lang w:val="en"/>
        </w:rPr>
        <w:t xml:space="preserve">8</w:t>
      </w:r>
      <w:r>
        <w:rPr>
          <w:rFonts w:ascii="Verdana" w:hAnsi="Verdana"/>
          <w:i/>
          <w:iCs/>
        </w:rPr>
        <w:t xml:space="preserve">]</w:t>
      </w:r>
      <w:r>
        <w:rPr>
          <w:rFonts w:ascii="Verdana" w:hAnsi="Verdana"/>
          <w:i/>
          <w:iCs/>
        </w:rPr>
      </w:r>
      <w:r>
        <w:rPr>
          <w:rFonts w:ascii="Verdana" w:hAnsi="Verdana"/>
          <w:i/>
          <w:iCs/>
        </w:rPr>
      </w:r>
    </w:p>
    <w:p w14:paraId="323292CE" w14:textId="77777777">
      <w:pPr>
        <w:pBdr/>
        <w:spacing w:after="0" w:line="240" w:lineRule="auto"/>
        <w:ind/>
        <w:rPr>
          <w:rFonts w:ascii="Verdana" w:hAnsi="Verdana"/>
          <w:b w:val="0"/>
          <w:bCs w:val="0"/>
          <w:i/>
          <w:iCs/>
        </w:rPr>
      </w:pPr>
      <w:r>
        <w:rPr>
          <w:rFonts w:ascii="Verdana" w:hAnsi="Verdana"/>
          <w:b/>
          <w:bCs/>
          <w:i/>
          <w:iCs/>
        </w:rPr>
        <w:t xml:space="preserve">Participants in the activity </w:t>
      </w:r>
      <w:r>
        <w:rPr>
          <w:rFonts w:ascii="Verdana" w:hAnsi="Verdana"/>
          <w:b/>
          <w:bCs/>
          <w:i/>
          <w:iCs/>
          <w:highlight w:val="none"/>
        </w:rPr>
        <w:t xml:space="preserve">: </w:t>
      </w:r>
      <w:r>
        <w:rPr>
          <w:rFonts w:ascii="Verdana" w:hAnsi="Verdana"/>
          <w:i/>
          <w:iCs/>
          <w:highlight w:val="none"/>
          <w:lang w:val="en"/>
        </w:rPr>
        <w:t xml:space="preserve">Velen Tikhonov</w:t>
      </w:r>
      <w:r>
        <w:rPr>
          <w:rFonts w:ascii="Verdana" w:hAnsi="Verdana"/>
          <w:b w:val="0"/>
          <w:bCs w:val="0"/>
          <w:i/>
          <w:iCs/>
        </w:rPr>
      </w:r>
      <w:r>
        <w:rPr>
          <w:rFonts w:ascii="Verdana" w:hAnsi="Verdana"/>
          <w:b w:val="0"/>
          <w:bCs w:val="0"/>
          <w:i/>
          <w:iCs/>
        </w:rPr>
      </w:r>
    </w:p>
    <w:p w14:paraId="2B539499" w14:textId="77777777">
      <w:pPr>
        <w:pBdr/>
        <w:spacing w:after="0" w:line="240" w:lineRule="auto"/>
        <w:ind/>
        <w:rPr>
          <w:rFonts w:ascii="Verdana" w:hAnsi="Verdana"/>
          <w:b/>
          <w:bCs/>
          <w:i/>
          <w:iCs/>
        </w:rPr>
      </w:pPr>
      <w:r>
        <w:rPr>
          <w:rFonts w:ascii="Verdana" w:hAnsi="Verdana"/>
          <w:b/>
          <w:bCs/>
          <w:i/>
          <w:iCs/>
        </w:rPr>
      </w:r>
      <w:r>
        <w:rPr>
          <w:rFonts w:ascii="Verdana" w:hAnsi="Verdana"/>
          <w:b/>
          <w:bCs/>
          <w:i/>
          <w:iCs/>
        </w:rPr>
      </w:r>
      <w:r>
        <w:rPr>
          <w:rFonts w:ascii="Verdana" w:hAnsi="Verdana"/>
          <w:b/>
          <w:bCs/>
          <w:i/>
          <w:iCs/>
        </w:rPr>
      </w:r>
    </w:p>
    <w:p w14:paraId="1107EAA7" w14:textId="477CE047">
      <w:pPr>
        <w:pBdr/>
        <w:spacing/>
        <w:ind/>
        <w:rPr>
          <w:rFonts w:ascii="Verdana" w:hAnsi="Verdana"/>
          <w:b/>
          <w:bCs/>
          <w:i/>
          <w:iCs/>
        </w:rPr>
      </w:pPr>
      <w:r>
        <w:rPr>
          <w:rFonts w:ascii="Verdana" w:hAnsi="Verdana"/>
          <w:b/>
          <w:bCs/>
          <w:i/>
          <w:iCs/>
        </w:rPr>
        <w:t xml:space="preserve">Scenario Overview</w:t>
      </w:r>
      <w:r>
        <w:rPr>
          <w:rFonts w:ascii="Verdana" w:hAnsi="Verdana"/>
          <w:b/>
          <w:bCs/>
          <w:i/>
          <w:iCs/>
        </w:rPr>
      </w:r>
      <w:r>
        <w:rPr>
          <w:rFonts w:ascii="Verdana" w:hAnsi="Verdana"/>
          <w:b/>
          <w:bCs/>
          <w:i/>
          <w:iCs/>
        </w:rPr>
      </w:r>
    </w:p>
    <w:p w14:paraId="6E99F825" w14:textId="3DFD36FF">
      <w:pPr>
        <w:pBdr/>
        <w:spacing/>
        <w:ind/>
        <w:rPr>
          <w:rFonts w:ascii="Verdana" w:hAnsi="Verdana"/>
          <w:i/>
          <w:iCs/>
        </w:rPr>
      </w:pPr>
      <w:r>
        <w:rPr>
          <w:rFonts w:ascii="Verdana" w:hAnsi="Verdana"/>
          <w:i/>
          <w:iCs/>
        </w:rPr>
        <w:t xml:space="preserve">Y</w:t>
      </w:r>
      <w:r>
        <w:rPr>
          <w:rFonts w:ascii="Verdana" w:hAnsi="Verdana"/>
          <w:i/>
          <w:iCs/>
        </w:rPr>
        <w:t xml:space="preserve">ou are analysing an excerpt adapted from </w:t>
      </w:r>
      <w:r>
        <w:rPr>
          <w:rFonts w:ascii="Verdana" w:hAnsi="Verdana"/>
          <w:i/>
          <w:iCs/>
        </w:rPr>
        <w:t xml:space="preserve">a cybersecurity advisory describing real-world adversary activity observed during a security incident. The advisory outlines, in sequence, the actions performed by an attacker as they gained access to a system or environment and pursued further objectives.</w:t>
      </w:r>
      <w:r>
        <w:rPr>
          <w:rFonts w:ascii="Verdana" w:hAnsi="Verdana"/>
          <w:i/>
          <w:iCs/>
        </w:rPr>
      </w:r>
      <w:r>
        <w:rPr>
          <w:rFonts w:ascii="Verdana" w:hAnsi="Verdana"/>
          <w:i/>
          <w:iCs/>
        </w:rPr>
      </w:r>
    </w:p>
    <w:p w14:paraId="38E7EC13" w14:textId="69C0855A">
      <w:pPr>
        <w:pBdr/>
        <w:spacing/>
        <w:ind/>
        <w:rPr>
          <w:rFonts w:ascii="Verdana" w:hAnsi="Verdana"/>
          <w:i/>
          <w:iCs/>
        </w:rPr>
      </w:pPr>
      <w:r>
        <w:rPr>
          <w:rFonts w:ascii="Verdana" w:hAnsi="Verdana"/>
          <w:i/>
          <w:iCs/>
        </w:rPr>
        <w:t xml:space="preserve">The described actions may span multiple ATT&amp;CK tactics as the attacker’s goals evolve over time.</w:t>
      </w:r>
      <w:r>
        <w:rPr>
          <w:rFonts w:ascii="Verdana" w:hAnsi="Verdana"/>
          <w:i/>
          <w:iCs/>
        </w:rPr>
      </w:r>
      <w:r>
        <w:rPr>
          <w:rFonts w:ascii="Verdana" w:hAnsi="Verdana"/>
          <w:i/>
          <w:iCs/>
        </w:rPr>
      </w:r>
    </w:p>
    <w:p w14:paraId="3CFF7ED4" w14:textId="167514BF">
      <w:pPr>
        <w:pBdr/>
        <w:spacing/>
        <w:ind/>
        <w:rPr>
          <w:rFonts w:ascii="Verdana" w:hAnsi="Verdana"/>
          <w:i/>
          <w:iCs/>
        </w:rPr>
      </w:pPr>
      <w:r>
        <w:rPr>
          <w:rFonts w:ascii="Verdana" w:hAnsi="Verdana"/>
          <w:i/>
          <w:iCs/>
        </w:rPr>
        <w:t xml:space="preserve">Your task is to interpret the adversary behaviour described in the text and map it to the MITRE ATT&amp;CK Enterprise framework.</w:t>
      </w:r>
      <w:r>
        <w:rPr>
          <w:rFonts w:ascii="Verdana" w:hAnsi="Verdana"/>
          <w:i/>
          <w:iCs/>
        </w:rPr>
      </w:r>
      <w:r>
        <w:rPr>
          <w:rFonts w:ascii="Verdana" w:hAnsi="Verdana"/>
          <w:i/>
          <w:iCs/>
        </w:rPr>
      </w:r>
    </w:p>
    <w:p w14:paraId="2090D612" w14:textId="29605DC1">
      <w:pPr>
        <w:pBdr/>
        <w:spacing/>
        <w:ind/>
        <w:rPr>
          <w:rFonts w:ascii="Verdana" w:hAnsi="Verdana"/>
          <w:i/>
          <w:iCs/>
        </w:rPr>
      </w:pPr>
      <w:r>
        <w:rPr>
          <w:rFonts w:ascii="Verdana" w:hAnsi="Verdana"/>
          <w:i/>
          <w:iCs/>
        </w:rPr>
        <w:t xml:space="preserve">Note: This e</w:t>
      </w:r>
      <w:r>
        <w:rPr>
          <w:rFonts w:ascii="Verdana" w:hAnsi="Verdana"/>
          <w:i/>
          <w:iCs/>
        </w:rPr>
        <w:t xml:space="preserve">xcerpt has been adapted from a real-world threat intelligence report. Technical details unrelated to the learning outcomes have been removed to allow focus on adversary behaviour and intent, rather than specific tools, exploits, or malware implementations.</w:t>
      </w:r>
      <w:r>
        <w:rPr>
          <w:rFonts w:ascii="Verdana" w:hAnsi="Verdana"/>
          <w:i/>
          <w:iCs/>
        </w:rPr>
      </w:r>
      <w:r>
        <w:rPr>
          <w:rFonts w:ascii="Verdana" w:hAnsi="Verdana"/>
          <w:i/>
          <w:iCs/>
        </w:rPr>
      </w:r>
    </w:p>
    <w:p w14:paraId="2E0BEAF9" w14:textId="6F7124D6">
      <w:pPr>
        <w:pBdr/>
        <w:spacing/>
        <w:ind/>
        <w:rPr>
          <w:rFonts w:ascii="Verdana" w:hAnsi="Verdana"/>
          <w:i/>
          <w:iCs/>
        </w:rPr>
      </w:pPr>
      <w:r>
        <w:rPr>
          <w:rFonts w:ascii="Verdana" w:hAnsi="Verdana"/>
          <w:i/>
          <w:iCs/>
        </w:rPr>
        <w:t xml:space="preserve">Reminder: Focus on what the attacker is doing and why, not on tool names or specific malware.</w:t>
      </w:r>
      <w:r>
        <w:rPr>
          <w:rFonts w:ascii="Verdana" w:hAnsi="Verdana"/>
          <w:i/>
          <w:iCs/>
        </w:rPr>
      </w:r>
      <w:r>
        <w:rPr>
          <w:rFonts w:ascii="Verdana" w:hAnsi="Verdana"/>
          <w:i/>
          <w:iCs/>
        </w:rPr>
      </w:r>
    </w:p>
    <w:tbl>
      <w:tblPr>
        <w:tblStyle w:val="898"/>
        <w:tblW w:w="0" w:type="auto"/>
        <w:tblBorders/>
        <w:tblLook w:val="04A0" w:firstRow="1" w:lastRow="0" w:firstColumn="1" w:lastColumn="0" w:noHBand="0" w:noVBand="1"/>
      </w:tblPr>
      <w:tblGrid>
        <w:gridCol w:w="13948"/>
      </w:tblGrid>
      <w:tr>
        <w:trPr/>
        <w:tc>
          <w:tcPr>
            <w:tcBorders/>
            <w:tcW w:w="13948" w:type="dxa"/>
            <w:textDirection w:val="lrTb"/>
            <w:noWrap w:val="false"/>
          </w:tcPr>
          <w:p w14:paraId="43F9622E" w14:textId="77777777">
            <w:pPr>
              <w:pBdr/>
              <w:spacing w:after="160" w:line="259" w:lineRule="auto"/>
              <w:ind/>
              <w:rPr>
                <w:rFonts w:ascii="Verdana" w:hAnsi="Verdana"/>
                <w:b/>
                <w:bCs/>
              </w:rPr>
            </w:pPr>
            <w:r>
              <w:rPr>
                <w:rFonts w:ascii="Verdana" w:hAnsi="Verdana"/>
                <w:b/>
                <w:bCs/>
              </w:rPr>
              <w:t xml:space="preserve">Threat Report Excerpt (for analysis)</w:t>
            </w:r>
            <w:r>
              <w:rPr>
                <w:rFonts w:ascii="Verdana" w:hAnsi="Verdana"/>
                <w:b/>
                <w:bCs/>
              </w:rPr>
            </w:r>
            <w:r>
              <w:rPr>
                <w:rFonts w:ascii="Verdana" w:hAnsi="Verdana"/>
                <w:b/>
                <w:bCs/>
              </w:rPr>
            </w:r>
          </w:p>
          <w:p w14:paraId="7ED32A81" w14:textId="77777777">
            <w:pPr>
              <w:pBdr/>
              <w:spacing w:after="160" w:line="259" w:lineRule="auto"/>
              <w:ind/>
              <w:rPr>
                <w:rFonts w:ascii="Verdana" w:hAnsi="Verdana"/>
                <w:highlight w:val="blue"/>
              </w:rPr>
            </w:pPr>
            <w:r>
              <w:rPr>
                <w:rFonts w:ascii="Verdana" w:hAnsi="Verdana"/>
                <w:highlight w:val="blue"/>
              </w:rPr>
              <w:t xml:space="preserve">An adversary sent phishing emails containing malicious document attachments to employees of an organisation.</w:t>
            </w:r>
            <w:r>
              <w:rPr>
                <w:rFonts w:ascii="Verdana" w:hAnsi="Verdana"/>
                <w:highlight w:val="blue"/>
              </w:rPr>
            </w:r>
            <w:r>
              <w:rPr>
                <w:rFonts w:ascii="Verdana" w:hAnsi="Verdana"/>
                <w:highlight w:val="blue"/>
              </w:rPr>
            </w:r>
          </w:p>
          <w:p w14:paraId="06128BE8" w14:textId="77777777">
            <w:pPr>
              <w:pBdr/>
              <w:spacing w:after="160" w:line="259" w:lineRule="auto"/>
              <w:ind/>
              <w:rPr>
                <w:rFonts w:ascii="Verdana" w:hAnsi="Verdana"/>
                <w:highlight w:val="blue"/>
              </w:rPr>
            </w:pPr>
            <w:r>
              <w:rPr>
                <w:rFonts w:ascii="Verdana" w:hAnsi="Verdana"/>
                <w:highlight w:val="blue"/>
              </w:rPr>
              <w:t xml:space="preserve">When a victim opened the attachment, embedded code executed on the user’s system.</w:t>
            </w:r>
            <w:r>
              <w:rPr>
                <w:rFonts w:ascii="Verdana" w:hAnsi="Verdana"/>
                <w:highlight w:val="blue"/>
              </w:rPr>
            </w:r>
            <w:r>
              <w:rPr>
                <w:rFonts w:ascii="Verdana" w:hAnsi="Verdana"/>
                <w:highlight w:val="blue"/>
              </w:rPr>
            </w:r>
          </w:p>
          <w:p w14:paraId="108DEC45" w14:textId="77777777">
            <w:pPr>
              <w:pBdr/>
              <w:spacing w:after="160" w:line="259" w:lineRule="auto"/>
              <w:ind/>
              <w:rPr>
                <w:rFonts w:ascii="Verdana" w:hAnsi="Verdana"/>
                <w:highlight w:val="darkCyan"/>
              </w:rPr>
            </w:pPr>
            <w:r>
              <w:rPr>
                <w:rFonts w:ascii="Verdana" w:hAnsi="Verdana"/>
                <w:highlight w:val="darkCyan"/>
              </w:rPr>
              <w:t xml:space="preserve">The attacker used the running process to download additional payloads from an external server.</w:t>
            </w:r>
            <w:r>
              <w:rPr>
                <w:rFonts w:ascii="Verdana" w:hAnsi="Verdana"/>
                <w:highlight w:val="darkCyan"/>
              </w:rPr>
            </w:r>
            <w:r>
              <w:rPr>
                <w:rFonts w:ascii="Verdana" w:hAnsi="Verdana"/>
                <w:highlight w:val="darkCyan"/>
              </w:rPr>
            </w:r>
          </w:p>
          <w:p w14:paraId="2FADD441" w14:textId="77777777">
            <w:pPr>
              <w:pBdr/>
              <w:spacing w:after="160" w:line="259" w:lineRule="auto"/>
              <w:ind/>
              <w:rPr>
                <w:rFonts w:ascii="Verdana" w:hAnsi="Verdana"/>
                <w:highlight w:val="darkYellow"/>
              </w:rPr>
            </w:pPr>
            <w:r>
              <w:rPr>
                <w:rFonts w:ascii="Verdana" w:hAnsi="Verdana"/>
                <w:highlight w:val="darkYellow"/>
              </w:rPr>
              <w:t xml:space="preserve">The adversary created a scheduled task to ensure the payload executed after system reboot.</w:t>
            </w:r>
            <w:r>
              <w:rPr>
                <w:rFonts w:ascii="Verdana" w:hAnsi="Verdana"/>
                <w:highlight w:val="darkYellow"/>
              </w:rPr>
            </w:r>
            <w:r>
              <w:rPr>
                <w:rFonts w:ascii="Verdana" w:hAnsi="Verdana"/>
                <w:highlight w:val="darkYellow"/>
              </w:rPr>
            </w:r>
          </w:p>
          <w:p w14:paraId="3AB49C80" w14:textId="77777777">
            <w:pPr>
              <w:pBdr/>
              <w:spacing w:after="160" w:line="259" w:lineRule="auto"/>
              <w:ind/>
              <w:rPr>
                <w:rFonts w:ascii="Verdana" w:hAnsi="Verdana"/>
                <w:highlight w:val="yellow"/>
              </w:rPr>
            </w:pPr>
            <w:r>
              <w:rPr>
                <w:rFonts w:ascii="Verdana" w:hAnsi="Verdana"/>
                <w:highlight w:val="yellow"/>
              </w:rPr>
              <w:t xml:space="preserve">The attacker executed commands to identify the current user’s privileges and group memberships.</w:t>
            </w:r>
            <w:r>
              <w:rPr>
                <w:rFonts w:ascii="Verdana" w:hAnsi="Verdana"/>
                <w:highlight w:val="yellow"/>
              </w:rPr>
            </w:r>
            <w:r>
              <w:rPr>
                <w:rFonts w:ascii="Verdana" w:hAnsi="Verdana"/>
                <w:highlight w:val="yellow"/>
              </w:rPr>
            </w:r>
          </w:p>
          <w:p w14:paraId="3DE4C101" w14:textId="77777777">
            <w:pPr>
              <w:pBdr/>
              <w:spacing w:after="160" w:line="259" w:lineRule="auto"/>
              <w:ind/>
              <w:rPr>
                <w:rFonts w:ascii="Verdana" w:hAnsi="Verdana"/>
                <w:highlight w:val="green"/>
              </w:rPr>
            </w:pPr>
            <w:r>
              <w:rPr>
                <w:rFonts w:ascii="Verdana" w:hAnsi="Verdana"/>
                <w:highlight w:val="green"/>
              </w:rPr>
              <w:t xml:space="preserve">After identifying a misconfiguration, the adversary exploited it to gain elevated privileges on the system.</w:t>
            </w:r>
            <w:r>
              <w:rPr>
                <w:rFonts w:ascii="Verdana" w:hAnsi="Verdana"/>
                <w:highlight w:val="green"/>
              </w:rPr>
            </w:r>
            <w:r>
              <w:rPr>
                <w:rFonts w:ascii="Verdana" w:hAnsi="Verdana"/>
                <w:highlight w:val="green"/>
              </w:rPr>
            </w:r>
          </w:p>
          <w:p w14:paraId="0BCD096D" w14:textId="77777777">
            <w:pPr>
              <w:pBdr/>
              <w:spacing w:after="160" w:line="259" w:lineRule="auto"/>
              <w:ind/>
              <w:rPr>
                <w:rFonts w:ascii="Verdana" w:hAnsi="Verdana"/>
                <w:highlight w:val="red"/>
              </w:rPr>
            </w:pPr>
            <w:r>
              <w:rPr>
                <w:rFonts w:ascii="Verdana" w:hAnsi="Verdana"/>
                <w:highlight w:val="red"/>
              </w:rPr>
              <w:t xml:space="preserve">With higher privileges, the attacker accessed protected files containing stored credentials.</w:t>
            </w:r>
            <w:r>
              <w:rPr>
                <w:rFonts w:ascii="Verdana" w:hAnsi="Verdana"/>
                <w:highlight w:val="red"/>
              </w:rPr>
            </w:r>
            <w:r>
              <w:rPr>
                <w:rFonts w:ascii="Verdana" w:hAnsi="Verdana"/>
                <w:highlight w:val="red"/>
              </w:rPr>
            </w:r>
          </w:p>
          <w:p w14:paraId="53EF47B4" w14:textId="77777777">
            <w:pPr>
              <w:pBdr/>
              <w:spacing w:after="160" w:line="259" w:lineRule="auto"/>
              <w:ind/>
              <w:rPr>
                <w:rFonts w:ascii="Verdana" w:hAnsi="Verdana"/>
                <w:highlight w:val="cyan"/>
              </w:rPr>
            </w:pPr>
            <w:r>
              <w:rPr>
                <w:rFonts w:ascii="Verdana" w:hAnsi="Verdana"/>
                <w:highlight w:val="cyan"/>
              </w:rPr>
              <w:t xml:space="preserve">The adversary then used the stolen credentials to access shared resources on other internal systems.</w:t>
            </w:r>
            <w:r>
              <w:rPr>
                <w:rFonts w:ascii="Verdana" w:hAnsi="Verdana"/>
                <w:highlight w:val="cyan"/>
                <w:lang w:val="en"/>
              </w:rPr>
              <w:t xml:space="preserve"> </w:t>
            </w:r>
            <w:r>
              <w:rPr>
                <w:rFonts w:ascii="Verdana" w:hAnsi="Verdana"/>
                <w:highlight w:val="cyan"/>
              </w:rPr>
            </w:r>
            <w:r>
              <w:rPr>
                <w:rFonts w:ascii="Verdana" w:hAnsi="Verdana"/>
                <w:highlight w:val="cyan"/>
              </w:rPr>
            </w:r>
          </w:p>
          <w:p w14:paraId="1FEDC37F" w14:textId="58A86220">
            <w:pPr>
              <w:pBdr/>
              <w:spacing w:after="160" w:line="259" w:lineRule="auto"/>
              <w:ind/>
              <w:rPr>
                <w:rFonts w:ascii="Verdana" w:hAnsi="Verdana"/>
                <w:highlight w:val="magenta"/>
              </w:rPr>
            </w:pPr>
            <w:r>
              <w:rPr>
                <w:rFonts w:ascii="Verdana" w:hAnsi="Verdana"/>
                <w:highlight w:val="magenta"/>
              </w:rPr>
              <w:t xml:space="preserve">Finally, the attacker collected sensitive documents from multiple systems.</w:t>
            </w:r>
            <w:r>
              <w:rPr>
                <w:rFonts w:ascii="Verdana" w:hAnsi="Verdana"/>
                <w:highlight w:val="magenta"/>
              </w:rPr>
            </w:r>
            <w:r>
              <w:rPr>
                <w:rFonts w:ascii="Verdana" w:hAnsi="Verdana"/>
                <w:highlight w:val="magenta"/>
              </w:rPr>
            </w:r>
          </w:p>
        </w:tc>
      </w:tr>
    </w:tbl>
    <w:p w14:paraId="18491DB0" w14:textId="77777777">
      <w:pPr>
        <w:pBdr/>
        <w:spacing/>
        <w:ind/>
        <w:rPr>
          <w:rFonts w:ascii="Verdana" w:hAnsi="Verdana"/>
          <w:b/>
          <w:bCs/>
          <w:sz w:val="28"/>
          <w:szCs w:val="28"/>
        </w:rPr>
      </w:pPr>
      <w:r>
        <w:rPr>
          <w:rFonts w:ascii="Verdana" w:hAnsi="Verdana"/>
          <w:b/>
          <w:bCs/>
          <w:sz w:val="28"/>
          <w:szCs w:val="28"/>
        </w:rPr>
      </w:r>
      <w:r>
        <w:rPr>
          <w:rFonts w:ascii="Verdana" w:hAnsi="Verdana"/>
          <w:b/>
          <w:bCs/>
          <w:sz w:val="28"/>
          <w:szCs w:val="28"/>
        </w:rPr>
      </w:r>
      <w:r>
        <w:rPr>
          <w:rFonts w:ascii="Verdana" w:hAnsi="Verdana"/>
          <w:b/>
          <w:bCs/>
          <w:sz w:val="28"/>
          <w:szCs w:val="28"/>
        </w:rPr>
      </w:r>
    </w:p>
    <w:p w14:paraId="162ED63B" w14:textId="7FF5EB19">
      <w:pPr>
        <w:pBdr/>
        <w:spacing/>
        <w:ind/>
        <w:rPr>
          <w:rFonts w:ascii="Verdana" w:hAnsi="Verdana"/>
          <w:b/>
          <w:bCs/>
          <w:sz w:val="28"/>
          <w:szCs w:val="28"/>
        </w:rPr>
      </w:pPr>
      <w:r>
        <w:rPr>
          <w:rFonts w:ascii="Verdana" w:hAnsi="Verdana"/>
          <w:b/>
          <w:bCs/>
          <w:sz w:val="28"/>
          <w:szCs w:val="28"/>
        </w:rPr>
        <w:t xml:space="preserve">Mapping Table </w:t>
      </w:r>
      <w:r>
        <w:rPr>
          <w:rFonts w:ascii="Verdana" w:hAnsi="Verdana"/>
          <w:b/>
          <w:bCs/>
          <w:sz w:val="28"/>
          <w:szCs w:val="28"/>
        </w:rPr>
      </w:r>
      <w:r>
        <w:rPr>
          <w:rFonts w:ascii="Verdana" w:hAnsi="Verdana"/>
          <w:b/>
          <w:bCs/>
          <w:sz w:val="28"/>
          <w:szCs w:val="28"/>
        </w:rPr>
      </w:r>
    </w:p>
    <w:tbl>
      <w:tblPr>
        <w:tblStyle w:val="898"/>
        <w:tblW w:w="0" w:type="auto"/>
        <w:tblBorders/>
        <w:tblLook w:val="04A0" w:firstRow="1" w:lastRow="0" w:firstColumn="1" w:lastColumn="0" w:noHBand="0" w:noVBand="1"/>
      </w:tblPr>
      <w:tblGrid>
        <w:gridCol w:w="437"/>
        <w:gridCol w:w="3007"/>
        <w:gridCol w:w="2374"/>
        <w:gridCol w:w="2121"/>
        <w:gridCol w:w="2059"/>
        <w:gridCol w:w="3950"/>
      </w:tblGrid>
      <w:tr>
        <w:trPr/>
        <w:tc>
          <w:tcPr>
            <w:tcBorders/>
            <w:tcW w:w="437" w:type="dxa"/>
            <w:textDirection w:val="lrTb"/>
            <w:noWrap w:val="false"/>
          </w:tcPr>
          <w:p w14:paraId="1289C5FA" w14:textId="66F84CF4">
            <w:pPr>
              <w:pBdr/>
              <w:spacing/>
              <w:ind/>
              <w:jc w:val="center"/>
              <w:rPr>
                <w:b/>
                <w:bCs/>
              </w:rPr>
            </w:pPr>
            <w:r>
              <w:rPr>
                <w:b/>
                <w:bCs/>
              </w:rPr>
              <w:t xml:space="preserve">ID</w:t>
            </w:r>
            <w:r>
              <w:rPr>
                <w:b/>
                <w:bCs/>
              </w:rPr>
            </w:r>
            <w:r>
              <w:rPr>
                <w:b/>
                <w:bCs/>
              </w:rPr>
            </w:r>
          </w:p>
        </w:tc>
        <w:tc>
          <w:tcPr>
            <w:tcBorders/>
            <w:tcW w:w="3007" w:type="dxa"/>
            <w:vAlign w:val="center"/>
            <w:textDirection w:val="lrTb"/>
            <w:noWrap w:val="false"/>
          </w:tcPr>
          <w:p w14:paraId="1E3CE159" w14:textId="05B88317">
            <w:pPr>
              <w:pBdr/>
              <w:spacing/>
              <w:ind/>
              <w:jc w:val="center"/>
              <w:rPr>
                <w:rFonts w:ascii="Verdana" w:hAnsi="Verdana"/>
              </w:rPr>
            </w:pPr>
            <w:r>
              <w:rPr>
                <w:b/>
                <w:bCs/>
              </w:rPr>
              <w:t xml:space="preserve">Adversary Action (Verb)</w:t>
            </w:r>
            <w:r>
              <w:rPr>
                <w:rFonts w:ascii="Verdana" w:hAnsi="Verdana"/>
              </w:rPr>
            </w:r>
            <w:r>
              <w:rPr>
                <w:rFonts w:ascii="Verdana" w:hAnsi="Verdana"/>
              </w:rPr>
            </w:r>
          </w:p>
        </w:tc>
        <w:tc>
          <w:tcPr>
            <w:tcBorders/>
            <w:tcW w:w="2374" w:type="dxa"/>
            <w:vAlign w:val="center"/>
            <w:textDirection w:val="lrTb"/>
            <w:noWrap w:val="false"/>
          </w:tcPr>
          <w:p w14:paraId="209DDB1E" w14:textId="51D6B8AA">
            <w:pPr>
              <w:pBdr/>
              <w:spacing/>
              <w:ind/>
              <w:jc w:val="center"/>
              <w:rPr>
                <w:rFonts w:ascii="Verdana" w:hAnsi="Verdana"/>
              </w:rPr>
            </w:pPr>
            <w:r>
              <w:rPr>
                <w:b/>
                <w:bCs/>
              </w:rPr>
              <w:t xml:space="preserve">Evidence from the Text</w:t>
            </w:r>
            <w:r>
              <w:rPr>
                <w:rFonts w:ascii="Verdana" w:hAnsi="Verdana"/>
              </w:rPr>
            </w:r>
            <w:r>
              <w:rPr>
                <w:rFonts w:ascii="Verdana" w:hAnsi="Verdana"/>
              </w:rPr>
            </w:r>
          </w:p>
        </w:tc>
        <w:tc>
          <w:tcPr>
            <w:tcBorders/>
            <w:tcW w:w="2121" w:type="dxa"/>
            <w:vAlign w:val="center"/>
            <w:textDirection w:val="lrTb"/>
            <w:noWrap w:val="false"/>
          </w:tcPr>
          <w:p w14:paraId="62EBC1D2" w14:textId="357743BA">
            <w:pPr>
              <w:pBdr/>
              <w:spacing/>
              <w:ind/>
              <w:jc w:val="center"/>
              <w:rPr>
                <w:rFonts w:ascii="Verdana" w:hAnsi="Verdana"/>
              </w:rPr>
            </w:pPr>
            <w:r>
              <w:rPr>
                <w:b/>
                <w:bCs/>
              </w:rPr>
              <w:t xml:space="preserve">ATT&amp;CK Tactic</w:t>
            </w:r>
            <w:r>
              <w:rPr>
                <w:rFonts w:ascii="Verdana" w:hAnsi="Verdana"/>
              </w:rPr>
            </w:r>
            <w:r>
              <w:rPr>
                <w:rFonts w:ascii="Verdana" w:hAnsi="Verdana"/>
              </w:rPr>
            </w:r>
          </w:p>
        </w:tc>
        <w:tc>
          <w:tcPr>
            <w:tcBorders/>
            <w:tcW w:w="2059" w:type="dxa"/>
            <w:vAlign w:val="center"/>
            <w:textDirection w:val="lrTb"/>
            <w:noWrap w:val="false"/>
          </w:tcPr>
          <w:p w14:paraId="097790C6" w14:textId="3B6DF49D">
            <w:pPr>
              <w:pBdr/>
              <w:spacing/>
              <w:ind/>
              <w:jc w:val="center"/>
              <w:rPr>
                <w:rFonts w:ascii="Verdana" w:hAnsi="Verdana"/>
              </w:rPr>
            </w:pPr>
            <w:r>
              <w:rPr>
                <w:b/>
                <w:bCs/>
              </w:rPr>
              <w:t xml:space="preserve">ATT&amp;CK Technique / Sub-technique</w:t>
            </w:r>
            <w:r>
              <w:rPr>
                <w:rFonts w:ascii="Verdana" w:hAnsi="Verdana"/>
              </w:rPr>
            </w:r>
            <w:r>
              <w:rPr>
                <w:rFonts w:ascii="Verdana" w:hAnsi="Verdana"/>
              </w:rPr>
            </w:r>
          </w:p>
        </w:tc>
        <w:tc>
          <w:tcPr>
            <w:tcBorders/>
            <w:tcW w:w="3950" w:type="dxa"/>
            <w:vAlign w:val="center"/>
            <w:textDirection w:val="lrTb"/>
            <w:noWrap w:val="false"/>
          </w:tcPr>
          <w:p w14:paraId="4AF9BC98" w14:textId="00CE0147">
            <w:pPr>
              <w:pBdr/>
              <w:spacing/>
              <w:ind/>
              <w:jc w:val="center"/>
              <w:rPr>
                <w:rFonts w:ascii="Verdana" w:hAnsi="Verdana"/>
              </w:rPr>
            </w:pPr>
            <w:r>
              <w:rPr>
                <w:b/>
                <w:bCs/>
              </w:rPr>
              <w:t xml:space="preserve">Justification</w:t>
            </w:r>
            <w:r>
              <w:rPr>
                <w:b/>
                <w:bCs/>
              </w:rPr>
              <w:t xml:space="preserve">/Explanation</w:t>
            </w:r>
            <w:r>
              <w:rPr>
                <w:rFonts w:ascii="Verdana" w:hAnsi="Verdana"/>
              </w:rPr>
            </w:r>
            <w:r>
              <w:rPr>
                <w:rFonts w:ascii="Verdana" w:hAnsi="Verdana"/>
              </w:rPr>
            </w:r>
          </w:p>
        </w:tc>
      </w:tr>
      <w:tr>
        <w:trPr/>
        <w:tc>
          <w:tcPr>
            <w:tcBorders/>
            <w:tcW w:w="437" w:type="dxa"/>
            <w:textDirection w:val="lrTb"/>
            <w:noWrap w:val="false"/>
          </w:tcPr>
          <w:p w14:paraId="377BD0E8" w14:textId="2B9EA638">
            <w:pPr>
              <w:pBdr/>
              <w:spacing/>
              <w:ind/>
              <w:rPr>
                <w:rFonts w:ascii="Verdana" w:hAnsi="Verdana"/>
              </w:rPr>
            </w:pPr>
            <w:r>
              <w:rPr>
                <w:rFonts w:ascii="Verdana" w:hAnsi="Verdana"/>
              </w:rPr>
              <w:t xml:space="preserve">1</w:t>
            </w:r>
            <w:r>
              <w:rPr>
                <w:rFonts w:ascii="Verdana" w:hAnsi="Verdana"/>
              </w:rPr>
            </w:r>
            <w:r>
              <w:rPr>
                <w:rFonts w:ascii="Verdana" w:hAnsi="Verdana"/>
              </w:rPr>
            </w:r>
          </w:p>
        </w:tc>
        <w:tc>
          <w:tcPr>
            <w:tcBorders/>
            <w:tcW w:w="3007" w:type="dxa"/>
            <w:textDirection w:val="lrTb"/>
            <w:noWrap w:val="false"/>
          </w:tcPr>
          <w:p w14:paraId="41631B1C" w14:textId="0FC29932">
            <w:pPr>
              <w:pBdr/>
              <w:spacing/>
              <w:ind/>
              <w:rPr>
                <w:rFonts w:ascii="Verdana" w:hAnsi="Verdana"/>
              </w:rPr>
            </w:pPr>
            <w:r>
              <w:rPr>
                <w:rFonts w:ascii="Verdana" w:hAnsi="Verdana"/>
                <w:lang w:val="en"/>
              </w:rPr>
              <w:t xml:space="preserve">sent</w:t>
            </w:r>
            <w:r>
              <w:rPr>
                <w:rFonts w:ascii="Verdana" w:hAnsi="Verdana"/>
              </w:rPr>
            </w:r>
            <w:r>
              <w:rPr>
                <w:rFonts w:ascii="Verdana" w:hAnsi="Verdana"/>
              </w:rPr>
            </w:r>
          </w:p>
        </w:tc>
        <w:tc>
          <w:tcPr>
            <w:tcBorders/>
            <w:tcW w:w="2374" w:type="dxa"/>
            <w:textDirection w:val="lrTb"/>
            <w:noWrap w:val="false"/>
          </w:tcPr>
          <w:p w14:paraId="5DC16DB6">
            <w:pPr>
              <w:pBdr/>
              <w:spacing w:after="160" w:line="259" w:lineRule="auto"/>
              <w:ind/>
              <w:rPr>
                <w:rFonts w:ascii="Verdana" w:hAnsi="Verdana"/>
              </w:rPr>
            </w:pPr>
            <w:r>
              <w:rPr>
                <w:rFonts w:ascii="Verdana" w:hAnsi="Verdana"/>
                <w:lang w:val="en"/>
              </w:rPr>
              <w:t xml:space="preserve">“</w:t>
            </w:r>
            <w:r>
              <w:rPr>
                <w:rFonts w:ascii="Verdana" w:hAnsi="Verdana"/>
              </w:rPr>
              <w:t xml:space="preserve">An adversary sent phishing emails containing malicious document attachments to employees of an organisation.</w:t>
            </w:r>
            <w:r>
              <w:rPr>
                <w:rFonts w:ascii="Verdana" w:hAnsi="Verdana"/>
                <w:lang w:val="en"/>
              </w:rPr>
              <w:t xml:space="preserve">”</w:t>
            </w:r>
            <w:r>
              <w:rPr>
                <w:rFonts w:ascii="Verdana" w:hAnsi="Verdana"/>
              </w:rPr>
            </w:r>
            <w:r>
              <w:rPr>
                <w:rFonts w:ascii="Verdana" w:hAnsi="Verdana"/>
              </w:rPr>
            </w:r>
          </w:p>
        </w:tc>
        <w:tc>
          <w:tcPr>
            <w:tcBorders/>
            <w:tcW w:w="2121" w:type="dxa"/>
            <w:textDirection w:val="lrTb"/>
            <w:noWrap w:val="false"/>
          </w:tcPr>
          <w:p w14:paraId="1F586D2B" w14:textId="77777777">
            <w:pPr>
              <w:pBdr/>
              <w:spacing/>
              <w:ind/>
              <w:rPr>
                <w:rFonts w:ascii="Verdana" w:hAnsi="Verdana"/>
              </w:rPr>
            </w:pPr>
            <w:r>
              <w:rPr>
                <w:rFonts w:ascii="Verdana" w:hAnsi="Verdana"/>
                <w:lang w:val="en"/>
              </w:rPr>
              <w:t xml:space="preserve">Initial access</w:t>
            </w:r>
            <w:r>
              <w:rPr>
                <w:rFonts w:ascii="Verdana" w:hAnsi="Verdana"/>
              </w:rPr>
            </w:r>
            <w:r>
              <w:rPr>
                <w:rFonts w:ascii="Verdana" w:hAnsi="Verdana"/>
              </w:rPr>
            </w:r>
          </w:p>
        </w:tc>
        <w:tc>
          <w:tcPr>
            <w:tcBorders/>
            <w:tcW w:w="2059" w:type="dxa"/>
            <w:textDirection w:val="lrTb"/>
            <w:noWrap w:val="false"/>
          </w:tcPr>
          <w:p w14:paraId="1E60D1A8" w14:textId="77777777">
            <w:pPr>
              <w:pBdr/>
              <w:spacing/>
              <w:ind/>
              <w:rPr>
                <w:rFonts w:ascii="Verdana" w:hAnsi="Verdana"/>
              </w:rPr>
            </w:pPr>
            <w:r>
              <w:rPr>
                <w:rFonts w:ascii="Verdana" w:hAnsi="Verdana"/>
                <w:lang w:val="en"/>
              </w:rPr>
              <w:t xml:space="preserve">Phishing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T1566</w:t>
            </w:r>
            <w:r>
              <w:rPr>
                <w:rFonts w:ascii="Verdana" w:hAnsi="Verdana"/>
                <w:lang w:val="en"/>
              </w:rPr>
              <w:t xml:space="preserve">/Spearphishing attachment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T1566.001</w:t>
            </w:r>
            <w:r>
              <w:rPr>
                <w:rFonts w:ascii="Verdana" w:hAnsi="Verdana"/>
              </w:rPr>
            </w:r>
            <w:r>
              <w:rPr>
                <w:rFonts w:ascii="Verdana" w:hAnsi="Verdana"/>
              </w:rPr>
            </w:r>
          </w:p>
        </w:tc>
        <w:tc>
          <w:tcPr>
            <w:tcBorders/>
            <w:tcW w:w="3950" w:type="dxa"/>
            <w:textDirection w:val="lrTb"/>
            <w:noWrap w:val="false"/>
          </w:tcPr>
          <w:p w14:paraId="0357D501" w14:textId="77777777">
            <w:pPr>
              <w:pBdr/>
              <w:spacing/>
              <w:ind/>
              <w:rPr>
                <w:rFonts w:ascii="Verdana" w:hAnsi="Verdana"/>
              </w:rPr>
            </w:pPr>
            <w:r>
              <w:rPr>
                <w:rFonts w:ascii="Verdana" w:hAnsi="Verdana"/>
                <w:lang w:val="en"/>
              </w:rPr>
              <w:t xml:space="preserve">The threat actor sent a spearphishing attachment in order to gain access in systems</w:t>
            </w:r>
            <w:r>
              <w:rPr>
                <w:rFonts w:ascii="Verdana" w:hAnsi="Verdana"/>
              </w:rPr>
            </w:r>
            <w:r>
              <w:rPr>
                <w:rFonts w:ascii="Verdana" w:hAnsi="Verdana"/>
              </w:rPr>
            </w:r>
          </w:p>
        </w:tc>
      </w:tr>
      <w:tr>
        <w:trPr/>
        <w:tc>
          <w:tcPr>
            <w:tcBorders/>
            <w:tcW w:w="437" w:type="dxa"/>
            <w:textDirection w:val="lrTb"/>
            <w:noWrap w:val="false"/>
          </w:tcPr>
          <w:p w14:paraId="4BE0B824" w14:textId="005B825F">
            <w:pPr>
              <w:pBdr/>
              <w:spacing/>
              <w:ind/>
              <w:rPr>
                <w:rFonts w:ascii="Verdana" w:hAnsi="Verdana"/>
              </w:rPr>
            </w:pPr>
            <w:r>
              <w:rPr>
                <w:rFonts w:ascii="Verdana" w:hAnsi="Verdana"/>
              </w:rPr>
              <w:t xml:space="preserve">2</w:t>
            </w:r>
            <w:r>
              <w:rPr>
                <w:rFonts w:ascii="Verdana" w:hAnsi="Verdana"/>
              </w:rPr>
            </w:r>
            <w:r>
              <w:rPr>
                <w:rFonts w:ascii="Verdana" w:hAnsi="Verdana"/>
              </w:rPr>
            </w:r>
          </w:p>
        </w:tc>
        <w:tc>
          <w:tcPr>
            <w:tcBorders/>
            <w:tcW w:w="3007" w:type="dxa"/>
            <w:textDirection w:val="lrTb"/>
            <w:noWrap w:val="false"/>
          </w:tcPr>
          <w:p w14:paraId="265E9348" w14:textId="4BCB2895">
            <w:pPr>
              <w:pBdr/>
              <w:spacing/>
              <w:ind/>
              <w:rPr>
                <w:rFonts w:ascii="Verdana" w:hAnsi="Verdana"/>
              </w:rPr>
            </w:pPr>
            <w:r>
              <w:rPr>
                <w:rFonts w:ascii="Verdana" w:hAnsi="Verdana"/>
                <w:lang w:val="en"/>
              </w:rPr>
              <w:t xml:space="preserve">Execution fo embedded code </w:t>
            </w:r>
            <w:r>
              <w:rPr>
                <w:rFonts w:ascii="Verdana" w:hAnsi="Verdana"/>
              </w:rPr>
            </w:r>
            <w:r>
              <w:rPr>
                <w:rFonts w:ascii="Verdana" w:hAnsi="Verdana"/>
              </w:rPr>
            </w:r>
          </w:p>
        </w:tc>
        <w:tc>
          <w:tcPr>
            <w:tcBorders/>
            <w:tcW w:w="2374" w:type="dxa"/>
            <w:textDirection w:val="lrTb"/>
            <w:noWrap w:val="false"/>
          </w:tcPr>
          <w:p w14:paraId="1C3562B9">
            <w:pPr>
              <w:pBdr/>
              <w:spacing w:after="160" w:line="259" w:lineRule="auto"/>
              <w:ind/>
              <w:rPr>
                <w:rFonts w:ascii="Verdana" w:hAnsi="Verdana"/>
              </w:rPr>
            </w:pPr>
            <w:r>
              <w:rPr>
                <w:rFonts w:ascii="Verdana" w:hAnsi="Verdana"/>
                <w:lang w:val="en"/>
              </w:rPr>
              <w:t xml:space="preserve">“</w:t>
            </w:r>
            <w:r>
              <w:rPr>
                <w:rFonts w:ascii="Verdana" w:hAnsi="Verdana"/>
              </w:rPr>
              <w:t xml:space="preserve">When a victim opened the attachment, embedded code executed on the user’s system.</w:t>
            </w:r>
            <w:r>
              <w:rPr>
                <w:rFonts w:ascii="Verdana" w:hAnsi="Verdana"/>
              </w:rPr>
            </w:r>
            <w:r>
              <w:rPr>
                <w:rFonts w:ascii="Verdana" w:hAnsi="Verdana"/>
              </w:rPr>
            </w:r>
          </w:p>
          <w:p w14:paraId="2B03C63E">
            <w:pPr>
              <w:pBdr/>
              <w:spacing w:after="160" w:line="259" w:lineRule="auto"/>
              <w:ind/>
              <w:rPr>
                <w:rFonts w:ascii="Verdana" w:hAnsi="Verdana"/>
              </w:rPr>
            </w:pPr>
            <w:r>
              <w:rPr>
                <w:rFonts w:ascii="Verdana" w:hAnsi="Verdana"/>
              </w:rPr>
              <w:t xml:space="preserve">The attacker used the running process to download additional payloads from an external server.</w:t>
            </w:r>
            <w:r>
              <w:rPr>
                <w:rFonts w:ascii="Verdana" w:hAnsi="Verdana"/>
                <w:lang w:val="en"/>
              </w:rPr>
              <w:t xml:space="preserve">”</w:t>
            </w:r>
            <w:r>
              <w:rPr>
                <w:rFonts w:ascii="Verdana" w:hAnsi="Verdana"/>
              </w:rPr>
            </w:r>
            <w:r>
              <w:rPr>
                <w:rFonts w:ascii="Verdana" w:hAnsi="Verdana"/>
              </w:rPr>
            </w:r>
          </w:p>
          <w:p w14:paraId="1544F50B" w14:textId="77777777">
            <w:pPr>
              <w:pBdr/>
              <w:spacing/>
              <w:ind/>
              <w:rPr>
                <w:rFonts w:ascii="Verdana" w:hAnsi="Verdana"/>
              </w:rPr>
            </w:pPr>
            <w:r>
              <w:rPr>
                <w:rFonts w:ascii="Verdana" w:hAnsi="Verdana"/>
              </w:rPr>
            </w:r>
            <w:r>
              <w:rPr>
                <w:rFonts w:ascii="Verdana" w:hAnsi="Verdana"/>
              </w:rPr>
            </w:r>
            <w:r>
              <w:rPr>
                <w:rFonts w:ascii="Verdana" w:hAnsi="Verdana"/>
              </w:rPr>
            </w:r>
          </w:p>
        </w:tc>
        <w:tc>
          <w:tcPr>
            <w:tcBorders/>
            <w:tcW w:w="2121" w:type="dxa"/>
            <w:textDirection w:val="lrTb"/>
            <w:noWrap w:val="false"/>
          </w:tcPr>
          <w:p w14:paraId="11797034" w14:textId="77777777">
            <w:pPr>
              <w:pBdr/>
              <w:spacing/>
              <w:ind/>
              <w:rPr>
                <w:rFonts w:ascii="Verdana" w:hAnsi="Verdana"/>
              </w:rPr>
            </w:pPr>
            <w:r>
              <w:rPr>
                <w:rFonts w:ascii="Verdana" w:hAnsi="Verdana"/>
                <w:lang w:val="en"/>
              </w:rPr>
              <w:t xml:space="preserve">Execution</w:t>
            </w:r>
            <w:r>
              <w:rPr>
                <w:rFonts w:ascii="Verdana" w:hAnsi="Verdana"/>
              </w:rPr>
            </w:r>
            <w:r>
              <w:rPr>
                <w:rFonts w:ascii="Verdana" w:hAnsi="Verdana"/>
              </w:rPr>
            </w:r>
          </w:p>
        </w:tc>
        <w:tc>
          <w:tcPr>
            <w:tcBorders/>
            <w:tcW w:w="2059" w:type="dxa"/>
            <w:textDirection w:val="lrTb"/>
            <w:noWrap w:val="false"/>
          </w:tcPr>
          <w:p w14:paraId="7AD2401F" w14:textId="77777777">
            <w:pPr>
              <w:pBdr/>
              <w:spacing/>
              <w:ind/>
              <w:rPr>
                <w:rFonts w:ascii="Verdana" w:hAnsi="Verdana"/>
              </w:rPr>
            </w:pPr>
            <w:r>
              <w:rPr>
                <w:rFonts w:ascii="Verdana" w:hAnsi="Verdana"/>
                <w:lang w:val="en"/>
              </w:rPr>
              <w:t xml:space="preserve">User execution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T1204</w:t>
            </w:r>
            <w:r>
              <w:rPr>
                <w:rFonts w:ascii="Liberation Sans" w:hAnsi="Liberation Sans" w:eastAsia="Liberation Sans" w:cs="Liberation Sans"/>
                <w:color w:val="39434c"/>
                <w:sz w:val="24"/>
                <w:highlight w:val="white"/>
                <w:lang w:val="en"/>
              </w:rPr>
              <w:t xml:space="preserve"> </w:t>
            </w:r>
            <w:r>
              <w:rPr>
                <w:rFonts w:ascii="Liberation Sans" w:hAnsi="Liberation Sans" w:eastAsia="Liberation Sans" w:cs="Liberation Sans"/>
                <w:color w:val="39434c"/>
                <w:sz w:val="24"/>
                <w:highlight w:val="none"/>
                <w:lang w:val="en"/>
              </w:rPr>
              <w:t xml:space="preserve">/ </w:t>
            </w:r>
            <w:r>
              <w:rPr>
                <w:rFonts w:ascii="Verdana" w:hAnsi="Verdana"/>
                <w:lang w:val="en"/>
              </w:rPr>
              <w:t xml:space="preserve">Malicous file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T1204.002</w:t>
            </w:r>
            <w:r>
              <w:rPr>
                <w:rFonts w:ascii="Verdana" w:hAnsi="Verdana"/>
              </w:rPr>
            </w:r>
            <w:r>
              <w:rPr>
                <w:rFonts w:ascii="Verdana" w:hAnsi="Verdana"/>
              </w:rPr>
            </w:r>
          </w:p>
        </w:tc>
        <w:tc>
          <w:tcPr>
            <w:tcBorders/>
            <w:tcW w:w="3950" w:type="dxa"/>
            <w:textDirection w:val="lrTb"/>
            <w:noWrap w:val="false"/>
          </w:tcPr>
          <w:p w14:paraId="6EF2DF2B" w14:textId="77777777">
            <w:pPr>
              <w:pBdr/>
              <w:spacing/>
              <w:ind/>
              <w:rPr>
                <w:rFonts w:ascii="Verdana" w:hAnsi="Verdana"/>
              </w:rPr>
            </w:pPr>
            <w:r>
              <w:rPr>
                <w:rFonts w:ascii="Verdana" w:hAnsi="Verdana"/>
                <w:lang w:val="en"/>
              </w:rPr>
              <w:t xml:space="preserve">The threat actor used user execution to run malicous code to extract additional payloads from an external server</w:t>
            </w:r>
            <w:r>
              <w:rPr>
                <w:rFonts w:ascii="Verdana" w:hAnsi="Verdana"/>
              </w:rPr>
            </w:r>
            <w:r>
              <w:rPr>
                <w:rFonts w:ascii="Verdana" w:hAnsi="Verdana"/>
              </w:rPr>
            </w:r>
          </w:p>
        </w:tc>
      </w:tr>
      <w:tr>
        <w:trPr/>
        <w:tc>
          <w:tcPr>
            <w:tcBorders/>
            <w:tcW w:w="437" w:type="dxa"/>
            <w:vMerge w:val="restart"/>
            <w:textDirection w:val="lrTb"/>
            <w:noWrap w:val="false"/>
          </w:tcPr>
          <w:p w14:paraId="7432D494">
            <w:pPr>
              <w:pBdr/>
              <w:spacing/>
              <w:ind/>
              <w:rPr>
                <w:rFonts w:ascii="Verdana" w:hAnsi="Verdana"/>
              </w:rPr>
            </w:pPr>
            <w:r>
              <w:rPr>
                <w:rFonts w:ascii="Verdana" w:hAnsi="Verdana"/>
                <w:lang w:val="en"/>
              </w:rPr>
              <w:t xml:space="preserve">3</w:t>
            </w:r>
            <w:r>
              <w:rPr>
                <w:rFonts w:ascii="Verdana" w:hAnsi="Verdana"/>
              </w:rPr>
            </w:r>
            <w:r>
              <w:rPr>
                <w:rFonts w:ascii="Verdana" w:hAnsi="Verdana"/>
              </w:rPr>
            </w:r>
          </w:p>
        </w:tc>
        <w:tc>
          <w:tcPr>
            <w:tcBorders/>
            <w:tcW w:w="3007" w:type="dxa"/>
            <w:vMerge w:val="restart"/>
            <w:textDirection w:val="lrTb"/>
            <w:noWrap w:val="false"/>
          </w:tcPr>
          <w:p w14:paraId="4B74E554">
            <w:pPr>
              <w:pBdr/>
              <w:spacing/>
              <w:ind/>
              <w:rPr>
                <w:rFonts w:ascii="Verdana" w:hAnsi="Verdana"/>
                <w:lang w:val="en"/>
              </w:rPr>
            </w:pPr>
            <w:r>
              <w:rPr>
                <w:rFonts w:ascii="Verdana" w:hAnsi="Verdana"/>
                <w:lang w:val="en"/>
              </w:rPr>
              <w:t xml:space="preserve">Opened the attachment</w:t>
            </w:r>
            <w:r>
              <w:rPr>
                <w:rFonts w:ascii="Verdana" w:hAnsi="Verdana"/>
                <w:lang w:val="en"/>
              </w:rPr>
            </w:r>
            <w:r>
              <w:rPr>
                <w:rFonts w:ascii="Verdana" w:hAnsi="Verdana"/>
                <w:lang w:val="en"/>
              </w:rPr>
            </w:r>
          </w:p>
        </w:tc>
        <w:tc>
          <w:tcPr>
            <w:tcBorders/>
            <w:tcW w:w="2374" w:type="dxa"/>
            <w:vMerge w:val="restart"/>
            <w:textDirection w:val="lrTb"/>
            <w:noWrap w:val="false"/>
          </w:tcPr>
          <w:p w14:paraId="2F608688">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When a victim opened the attachment, embedded code executed on the user’s system.</w:t>
            </w:r>
            <w:r>
              <w:rPr>
                <w:rFonts w:ascii="Verdana" w:hAnsi="Verdana"/>
                <w:highlight w:val="none"/>
                <w:lang w:val="en"/>
              </w:rPr>
              <w:t xml:space="preserve">”</w:t>
            </w:r>
            <w:r>
              <w:rPr>
                <w:rFonts w:ascii="Verdana" w:hAnsi="Verdana"/>
                <w:highlight w:val="none"/>
              </w:rPr>
            </w:r>
            <w:r>
              <w:rPr>
                <w:rFonts w:ascii="Verdana" w:hAnsi="Verdana"/>
                <w:highlight w:val="none"/>
              </w:rPr>
            </w:r>
          </w:p>
          <w:p w14:paraId="24F40037">
            <w:pPr>
              <w:pBdr/>
              <w:spacing w:after="160" w:line="259" w:lineRule="auto"/>
              <w:ind/>
              <w:rPr>
                <w:rFonts w:ascii="Verdana" w:hAnsi="Verdana"/>
                <w:lang w:val="en"/>
              </w:rPr>
            </w:pPr>
            <w:r>
              <w:rPr>
                <w:rFonts w:ascii="Verdana" w:hAnsi="Verdana"/>
                <w:lang w:val="en"/>
              </w:rPr>
            </w:r>
            <w:r>
              <w:rPr>
                <w:rFonts w:ascii="Verdana" w:hAnsi="Verdana"/>
                <w:lang w:val="en"/>
              </w:rPr>
            </w:r>
            <w:r>
              <w:rPr>
                <w:rFonts w:ascii="Verdana" w:hAnsi="Verdana"/>
                <w:lang w:val="en"/>
              </w:rPr>
            </w:r>
          </w:p>
        </w:tc>
        <w:tc>
          <w:tcPr>
            <w:tcBorders/>
            <w:tcW w:w="2121" w:type="dxa"/>
            <w:vMerge w:val="restart"/>
            <w:textDirection w:val="lrTb"/>
            <w:noWrap w:val="false"/>
          </w:tcPr>
          <w:p w14:paraId="180886EF">
            <w:pPr>
              <w:pBdr/>
              <w:spacing/>
              <w:ind/>
              <w:rPr>
                <w:rFonts w:ascii="Verdana" w:hAnsi="Verdana"/>
                <w:lang w:val="en"/>
              </w:rPr>
            </w:pPr>
            <w:r>
              <w:rPr>
                <w:rFonts w:ascii="Verdana" w:hAnsi="Verdana"/>
                <w:lang w:val="en"/>
              </w:rPr>
              <w:t xml:space="preserve">Command and control</w:t>
            </w:r>
            <w:r>
              <w:rPr>
                <w:rFonts w:ascii="Verdana" w:hAnsi="Verdana"/>
                <w:lang w:val="en"/>
              </w:rPr>
            </w:r>
            <w:r>
              <w:rPr>
                <w:rFonts w:ascii="Verdana" w:hAnsi="Verdana"/>
                <w:lang w:val="en"/>
              </w:rPr>
            </w:r>
          </w:p>
        </w:tc>
        <w:tc>
          <w:tcPr>
            <w:tcBorders/>
            <w:tcW w:w="2059" w:type="dxa"/>
            <w:vMerge w:val="restart"/>
            <w:textDirection w:val="lrTb"/>
            <w:noWrap w:val="false"/>
          </w:tcPr>
          <w:p w14:paraId="00F05A78">
            <w:pPr>
              <w:pBdr/>
              <w:spacing/>
              <w:ind/>
              <w:rPr>
                <w:rFonts w:ascii="Verdana" w:hAnsi="Verdana"/>
                <w:lang w:val="en"/>
              </w:rPr>
            </w:pPr>
            <w:r>
              <w:rPr>
                <w:rFonts w:ascii="Verdana" w:hAnsi="Verdana"/>
                <w:lang w:val="en"/>
              </w:rPr>
              <w:t xml:space="preserve">Ingress tool transfer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T1105</w:t>
            </w:r>
            <w:r>
              <w:rPr>
                <w:rFonts w:ascii="Verdana" w:hAnsi="Verdana"/>
                <w:lang w:val="en"/>
              </w:rPr>
            </w:r>
            <w:r>
              <w:rPr>
                <w:rFonts w:ascii="Verdana" w:hAnsi="Verdana"/>
                <w:lang w:val="en"/>
              </w:rPr>
            </w:r>
          </w:p>
        </w:tc>
        <w:tc>
          <w:tcPr>
            <w:tcBorders/>
            <w:tcW w:w="3950" w:type="dxa"/>
            <w:vMerge w:val="restart"/>
            <w:textDirection w:val="lrTb"/>
            <w:noWrap w:val="false"/>
          </w:tcPr>
          <w:p w14:paraId="6BDDFFE6">
            <w:pPr>
              <w:pBdr/>
              <w:spacing/>
              <w:ind/>
              <w:rPr>
                <w:rFonts w:ascii="Verdana" w:hAnsi="Verdana"/>
                <w:lang w:val="en"/>
              </w:rPr>
            </w:pPr>
            <w:r>
              <w:rPr>
                <w:rFonts w:ascii="Verdana" w:hAnsi="Verdana"/>
                <w:lang w:val="en"/>
              </w:rPr>
              <w:t xml:space="preserve">When the victim opened the attachment the malicous code was exetcuted and the threat actor gained command and control</w:t>
            </w:r>
            <w:r>
              <w:rPr>
                <w:rFonts w:ascii="Verdana" w:hAnsi="Verdana"/>
                <w:lang w:val="en"/>
              </w:rPr>
            </w:r>
            <w:r>
              <w:rPr>
                <w:rFonts w:ascii="Verdana" w:hAnsi="Verdana"/>
                <w:lang w:val="en"/>
              </w:rPr>
            </w:r>
          </w:p>
        </w:tc>
      </w:tr>
      <w:tr>
        <w:trPr/>
        <w:tc>
          <w:tcPr>
            <w:tcBorders/>
            <w:tcW w:w="437" w:type="dxa"/>
            <w:textDirection w:val="lrTb"/>
            <w:noWrap w:val="false"/>
          </w:tcPr>
          <w:p w14:paraId="37380BDE" w14:textId="51A529B0">
            <w:pPr>
              <w:pBdr/>
              <w:spacing/>
              <w:ind/>
              <w:rPr>
                <w:rFonts w:ascii="Verdana" w:hAnsi="Verdana"/>
              </w:rPr>
            </w:pPr>
            <w:r>
              <w:rPr>
                <w:rFonts w:ascii="Verdana" w:hAnsi="Verdana"/>
                <w:lang w:val="en"/>
              </w:rPr>
              <w:t xml:space="preserve">4</w:t>
            </w:r>
            <w:r>
              <w:rPr>
                <w:rFonts w:ascii="Verdana" w:hAnsi="Verdana"/>
              </w:rPr>
            </w:r>
            <w:r>
              <w:rPr>
                <w:rFonts w:ascii="Verdana" w:hAnsi="Verdana"/>
              </w:rPr>
            </w:r>
          </w:p>
        </w:tc>
        <w:tc>
          <w:tcPr>
            <w:tcBorders/>
            <w:tcW w:w="3007" w:type="dxa"/>
            <w:textDirection w:val="lrTb"/>
            <w:noWrap w:val="false"/>
          </w:tcPr>
          <w:p w14:paraId="5C23D60E" w14:textId="5AC79F53">
            <w:pPr>
              <w:pBdr/>
              <w:spacing/>
              <w:ind/>
              <w:rPr>
                <w:rFonts w:ascii="Verdana" w:hAnsi="Verdana"/>
              </w:rPr>
            </w:pPr>
            <w:r>
              <w:rPr>
                <w:rFonts w:ascii="Verdana" w:hAnsi="Verdana"/>
                <w:lang w:val="en"/>
              </w:rPr>
              <w:t xml:space="preserve">Created scheduled task </w:t>
            </w:r>
            <w:r>
              <w:rPr>
                <w:rFonts w:ascii="Verdana" w:hAnsi="Verdana"/>
              </w:rPr>
            </w:r>
            <w:r>
              <w:rPr>
                <w:rFonts w:ascii="Verdana" w:hAnsi="Verdana"/>
              </w:rPr>
            </w:r>
          </w:p>
        </w:tc>
        <w:tc>
          <w:tcPr>
            <w:tcBorders/>
            <w:tcW w:w="2374" w:type="dxa"/>
            <w:textDirection w:val="lrTb"/>
            <w:noWrap w:val="false"/>
          </w:tcPr>
          <w:p w14:paraId="53A7F595">
            <w:pPr>
              <w:pBdr/>
              <w:spacing w:after="160" w:line="259" w:lineRule="auto"/>
              <w:ind/>
              <w:rPr>
                <w:rFonts w:ascii="Verdana" w:hAnsi="Verdana"/>
              </w:rPr>
            </w:pPr>
            <w:r>
              <w:rPr>
                <w:rFonts w:ascii="Verdana" w:hAnsi="Verdana"/>
                <w:lang w:val="en"/>
              </w:rPr>
              <w:t xml:space="preserve">“</w:t>
            </w:r>
            <w:r>
              <w:rPr>
                <w:rFonts w:ascii="Verdana" w:hAnsi="Verdana"/>
              </w:rPr>
              <w:t xml:space="preserve">The adversary created a scheduled </w:t>
            </w:r>
            <w:r>
              <w:rPr>
                <w:rFonts w:ascii="Verdana" w:hAnsi="Verdana"/>
              </w:rPr>
              <w:t xml:space="preserve">task to ensure the payload executed after system reboot.</w:t>
            </w:r>
            <w:r>
              <w:rPr>
                <w:rFonts w:ascii="Verdana" w:hAnsi="Verdana"/>
                <w:lang w:val="en"/>
              </w:rPr>
              <w:t xml:space="preserve">”</w:t>
            </w:r>
            <w:r>
              <w:rPr>
                <w:rFonts w:ascii="Verdana" w:hAnsi="Verdana"/>
              </w:rPr>
            </w:r>
            <w:r>
              <w:rPr>
                <w:rFonts w:ascii="Verdana" w:hAnsi="Verdana"/>
              </w:rPr>
            </w:r>
          </w:p>
          <w:p w14:paraId="65D7C53B" w14:textId="77777777">
            <w:pPr>
              <w:pBdr/>
              <w:spacing/>
              <w:ind/>
              <w:rPr>
                <w:rFonts w:ascii="Verdana" w:hAnsi="Verdana"/>
              </w:rPr>
            </w:pPr>
            <w:r>
              <w:rPr>
                <w:rFonts w:ascii="Verdana" w:hAnsi="Verdana"/>
              </w:rPr>
            </w:r>
            <w:r>
              <w:rPr>
                <w:rFonts w:ascii="Verdana" w:hAnsi="Verdana"/>
              </w:rPr>
            </w:r>
            <w:r>
              <w:rPr>
                <w:rFonts w:ascii="Verdana" w:hAnsi="Verdana"/>
              </w:rPr>
            </w:r>
          </w:p>
        </w:tc>
        <w:tc>
          <w:tcPr>
            <w:tcBorders/>
            <w:tcW w:w="2121" w:type="dxa"/>
            <w:textDirection w:val="lrTb"/>
            <w:noWrap w:val="false"/>
          </w:tcPr>
          <w:p w14:paraId="21B642B9" w14:textId="77777777">
            <w:pPr>
              <w:pBdr/>
              <w:spacing/>
              <w:ind/>
              <w:rPr>
                <w:rFonts w:ascii="Verdana" w:hAnsi="Verdana"/>
              </w:rPr>
            </w:pPr>
            <w:r>
              <w:rPr>
                <w:rFonts w:ascii="Verdana" w:hAnsi="Verdana"/>
                <w:lang w:val="en"/>
              </w:rPr>
              <w:t xml:space="preserve">Persistence</w:t>
            </w:r>
            <w:r>
              <w:rPr>
                <w:rFonts w:ascii="Verdana" w:hAnsi="Verdana"/>
              </w:rPr>
            </w:r>
            <w:r>
              <w:rPr>
                <w:rFonts w:ascii="Verdana" w:hAnsi="Verdana"/>
              </w:rPr>
            </w:r>
          </w:p>
        </w:tc>
        <w:tc>
          <w:tcPr>
            <w:tcBorders/>
            <w:tcW w:w="2059" w:type="dxa"/>
            <w:textDirection w:val="lrTb"/>
            <w:noWrap w:val="false"/>
          </w:tcPr>
          <w:p w14:paraId="682A8853" w14:textId="77777777">
            <w:pPr>
              <w:pBdr/>
              <w:tabs>
                <w:tab w:val="center" w:leader="none" w:pos="1324"/>
              </w:tabs>
              <w:spacing/>
              <w:ind/>
              <w:rPr>
                <w:rFonts w:ascii="Verdana" w:hAnsi="Verdana"/>
              </w:rPr>
            </w:pPr>
            <w:r>
              <w:rPr>
                <w:rFonts w:ascii="Verdana" w:hAnsi="Verdana"/>
                <w:lang w:val="en"/>
              </w:rPr>
              <w:t xml:space="preserve">Scheduled Task/Job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T1053</w:t>
            </w:r>
            <w:r>
              <w:rPr>
                <w:rFonts w:ascii="Verdana" w:hAnsi="Verdana"/>
              </w:rPr>
            </w:r>
            <w:r>
              <w:rPr>
                <w:rFonts w:ascii="Verdana" w:hAnsi="Verdana"/>
              </w:rPr>
            </w:r>
          </w:p>
        </w:tc>
        <w:tc>
          <w:tcPr>
            <w:tcBorders/>
            <w:tcW w:w="3950" w:type="dxa"/>
            <w:textDirection w:val="lrTb"/>
            <w:noWrap w:val="false"/>
          </w:tcPr>
          <w:p w14:paraId="42BCBF2E" w14:textId="77777777">
            <w:pPr>
              <w:pBdr/>
              <w:spacing/>
              <w:ind/>
              <w:rPr>
                <w:rFonts w:ascii="Verdana" w:hAnsi="Verdana"/>
              </w:rPr>
            </w:pPr>
            <w:r>
              <w:rPr>
                <w:rFonts w:ascii="Verdana" w:hAnsi="Verdana"/>
                <w:lang w:val="en"/>
              </w:rPr>
              <w:t xml:space="preserve">The threat actor created a scheduled task/job to make sure the malicous code runs after the system reboots</w:t>
            </w:r>
            <w:r>
              <w:rPr>
                <w:rFonts w:ascii="Verdana" w:hAnsi="Verdana"/>
              </w:rPr>
            </w:r>
            <w:r>
              <w:rPr>
                <w:rFonts w:ascii="Verdana" w:hAnsi="Verdana"/>
              </w:rPr>
            </w:r>
          </w:p>
        </w:tc>
      </w:tr>
      <w:tr>
        <w:trPr/>
        <w:tc>
          <w:tcPr>
            <w:tcBorders/>
            <w:tcW w:w="437" w:type="dxa"/>
            <w:textDirection w:val="lrTb"/>
            <w:noWrap w:val="false"/>
          </w:tcPr>
          <w:p w14:paraId="4DAA3D45" w14:textId="483D211A">
            <w:pPr>
              <w:pBdr/>
              <w:spacing/>
              <w:ind/>
              <w:rPr>
                <w:rFonts w:ascii="Verdana" w:hAnsi="Verdana"/>
              </w:rPr>
            </w:pPr>
            <w:r>
              <w:rPr>
                <w:rFonts w:ascii="Verdana" w:hAnsi="Verdana"/>
                <w:lang w:val="en"/>
              </w:rPr>
              <w:t xml:space="preserve">5</w:t>
            </w:r>
            <w:r>
              <w:rPr>
                <w:rFonts w:ascii="Verdana" w:hAnsi="Verdana"/>
              </w:rPr>
            </w:r>
            <w:r>
              <w:rPr>
                <w:rFonts w:ascii="Verdana" w:hAnsi="Verdana"/>
              </w:rPr>
            </w:r>
          </w:p>
        </w:tc>
        <w:tc>
          <w:tcPr>
            <w:tcBorders/>
            <w:tcW w:w="3007" w:type="dxa"/>
            <w:textDirection w:val="lrTb"/>
            <w:noWrap w:val="false"/>
          </w:tcPr>
          <w:p w14:paraId="446575C0" w14:textId="204D39AC">
            <w:pPr>
              <w:pBdr/>
              <w:spacing/>
              <w:ind/>
              <w:rPr>
                <w:rFonts w:ascii="Verdana" w:hAnsi="Verdana"/>
              </w:rPr>
            </w:pPr>
            <w:r>
              <w:rPr>
                <w:rFonts w:ascii="Verdana" w:hAnsi="Verdana"/>
                <w:lang w:val="en"/>
              </w:rPr>
              <w:t xml:space="preserve">Identified user &amp; group permissions</w:t>
            </w:r>
            <w:r>
              <w:rPr>
                <w:rFonts w:ascii="Verdana" w:hAnsi="Verdana"/>
              </w:rPr>
            </w:r>
            <w:r>
              <w:rPr>
                <w:rFonts w:ascii="Verdana" w:hAnsi="Verdana"/>
              </w:rPr>
            </w:r>
          </w:p>
        </w:tc>
        <w:tc>
          <w:tcPr>
            <w:tcBorders/>
            <w:tcW w:w="2374" w:type="dxa"/>
            <w:textDirection w:val="lrTb"/>
            <w:noWrap w:val="false"/>
          </w:tcPr>
          <w:p w14:paraId="345192E7">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The attacker executed commands to identify the current user’s privileges and group memberships.</w:t>
            </w:r>
            <w:r>
              <w:rPr>
                <w:rFonts w:ascii="Verdana" w:hAnsi="Verdana"/>
                <w:highlight w:val="none"/>
                <w:lang w:val="en"/>
              </w:rPr>
              <w:t xml:space="preserve">”</w:t>
            </w:r>
            <w:r>
              <w:rPr>
                <w:rFonts w:ascii="Verdana" w:hAnsi="Verdana"/>
                <w:highlight w:val="none"/>
              </w:rPr>
            </w:r>
            <w:r>
              <w:rPr>
                <w:rFonts w:ascii="Verdana" w:hAnsi="Verdana"/>
                <w:highlight w:val="none"/>
              </w:rPr>
            </w:r>
          </w:p>
          <w:p w14:paraId="03631189" w14:textId="77777777">
            <w:pPr>
              <w:pBdr/>
              <w:spacing/>
              <w:ind/>
              <w:rPr>
                <w:rFonts w:ascii="Verdana" w:hAnsi="Verdana"/>
              </w:rPr>
            </w:pPr>
            <w:r>
              <w:rPr>
                <w:rFonts w:ascii="Verdana" w:hAnsi="Verdana"/>
              </w:rPr>
            </w:r>
            <w:r>
              <w:rPr>
                <w:rFonts w:ascii="Verdana" w:hAnsi="Verdana"/>
              </w:rPr>
            </w:r>
            <w:r>
              <w:rPr>
                <w:rFonts w:ascii="Verdana" w:hAnsi="Verdana"/>
              </w:rPr>
            </w:r>
          </w:p>
        </w:tc>
        <w:tc>
          <w:tcPr>
            <w:tcBorders/>
            <w:tcW w:w="2121" w:type="dxa"/>
            <w:textDirection w:val="lrTb"/>
            <w:noWrap w:val="false"/>
          </w:tcPr>
          <w:p w14:paraId="0AA45AE9" w14:textId="77777777">
            <w:pPr>
              <w:pBdr/>
              <w:spacing/>
              <w:ind/>
              <w:rPr>
                <w:rFonts w:ascii="Verdana" w:hAnsi="Verdana"/>
              </w:rPr>
            </w:pPr>
            <w:r>
              <w:rPr>
                <w:rFonts w:ascii="Verdana" w:hAnsi="Verdana"/>
                <w:lang w:val="en"/>
              </w:rPr>
              <w:t xml:space="preserve">Discovery</w:t>
            </w:r>
            <w:r>
              <w:rPr>
                <w:rFonts w:ascii="Verdana" w:hAnsi="Verdana"/>
              </w:rPr>
            </w:r>
            <w:r>
              <w:rPr>
                <w:rFonts w:ascii="Verdana" w:hAnsi="Verdana"/>
              </w:rPr>
            </w:r>
          </w:p>
        </w:tc>
        <w:tc>
          <w:tcPr>
            <w:tcBorders/>
            <w:tcW w:w="2059" w:type="dxa"/>
            <w:textDirection w:val="lrTb"/>
            <w:noWrap w:val="false"/>
          </w:tcPr>
          <w:p w14:paraId="5E406194" w14:textId="77777777">
            <w:pPr>
              <w:pBdr/>
              <w:spacing/>
              <w:ind/>
              <w:rPr>
                <w:rFonts w:ascii="Verdana" w:hAnsi="Verdana"/>
              </w:rPr>
            </w:pPr>
            <w:r>
              <w:rPr>
                <w:rFonts w:ascii="Verdana" w:hAnsi="Verdana"/>
                <w:lang w:val="en"/>
              </w:rPr>
              <w:t xml:space="preserve">Permission groups discovery </w:t>
            </w:r>
            <w:r>
              <w:rPr>
                <w:rFonts w:ascii="Liberation Sans" w:hAnsi="Liberation Sans" w:eastAsia="Liberation Sans" w:cs="Liberation Sans"/>
                <w:b/>
                <w:color w:val="1d2226"/>
                <w:sz w:val="26"/>
                <w:highlight w:val="white"/>
              </w:rPr>
              <w:t xml:space="preserve">ID:</w:t>
            </w:r>
            <w:r>
              <w:rPr>
                <w:rFonts w:ascii="Verdana" w:hAnsi="Verdana"/>
                <w:lang w:val="en"/>
              </w:rPr>
              <w:t xml:space="preserve"> T1069</w:t>
            </w:r>
            <w:r>
              <w:rPr>
                <w:rFonts w:ascii="Verdana" w:hAnsi="Verdana"/>
              </w:rPr>
            </w:r>
            <w:r>
              <w:rPr>
                <w:rFonts w:ascii="Verdana" w:hAnsi="Verdana"/>
              </w:rPr>
            </w:r>
          </w:p>
        </w:tc>
        <w:tc>
          <w:tcPr>
            <w:tcBorders/>
            <w:tcW w:w="3950" w:type="dxa"/>
            <w:textDirection w:val="lrTb"/>
            <w:noWrap w:val="false"/>
          </w:tcPr>
          <w:p w14:paraId="66EC48CC" w14:textId="77777777">
            <w:pPr>
              <w:pBdr/>
              <w:spacing/>
              <w:ind/>
              <w:rPr>
                <w:rFonts w:ascii="Verdana" w:hAnsi="Verdana"/>
              </w:rPr>
            </w:pPr>
            <w:r>
              <w:rPr>
                <w:rFonts w:ascii="Verdana" w:hAnsi="Verdana"/>
                <w:lang w:val="en"/>
              </w:rPr>
              <w:t xml:space="preserve">The threat actor executed code to identify user permissions within groups</w:t>
            </w:r>
            <w:r>
              <w:rPr>
                <w:rFonts w:ascii="Verdana" w:hAnsi="Verdana"/>
              </w:rPr>
            </w:r>
            <w:r>
              <w:rPr>
                <w:rFonts w:ascii="Verdana" w:hAnsi="Verdana"/>
              </w:rPr>
            </w:r>
          </w:p>
        </w:tc>
      </w:tr>
      <w:tr>
        <w:trPr/>
        <w:tc>
          <w:tcPr>
            <w:tcBorders/>
            <w:tcW w:w="437" w:type="dxa"/>
            <w:textDirection w:val="lrTb"/>
            <w:noWrap w:val="false"/>
          </w:tcPr>
          <w:p w14:paraId="5CEA4F03" w14:textId="6C2BB457">
            <w:pPr>
              <w:pBdr/>
              <w:spacing/>
              <w:ind/>
              <w:rPr>
                <w:rFonts w:ascii="Verdana" w:hAnsi="Verdana"/>
              </w:rPr>
            </w:pPr>
            <w:r>
              <w:rPr>
                <w:rFonts w:ascii="Verdana" w:hAnsi="Verdana"/>
                <w:lang w:val="en"/>
              </w:rPr>
              <w:t xml:space="preserve">6</w:t>
            </w:r>
            <w:r>
              <w:rPr>
                <w:rFonts w:ascii="Verdana" w:hAnsi="Verdana"/>
              </w:rPr>
            </w:r>
            <w:r>
              <w:rPr>
                <w:rFonts w:ascii="Verdana" w:hAnsi="Verdana"/>
              </w:rPr>
            </w:r>
          </w:p>
        </w:tc>
        <w:tc>
          <w:tcPr>
            <w:tcBorders/>
            <w:tcW w:w="3007" w:type="dxa"/>
            <w:textDirection w:val="lrTb"/>
            <w:noWrap w:val="false"/>
          </w:tcPr>
          <w:p w14:paraId="2EB1E0DB" w14:textId="01E22D23">
            <w:pPr>
              <w:pBdr/>
              <w:spacing/>
              <w:ind/>
              <w:rPr>
                <w:rFonts w:ascii="Verdana" w:hAnsi="Verdana"/>
              </w:rPr>
            </w:pPr>
            <w:r>
              <w:rPr>
                <w:rFonts w:ascii="Verdana" w:hAnsi="Verdana"/>
                <w:lang w:val="en"/>
              </w:rPr>
              <w:t xml:space="preserve">Exploitation of elevated privilliges</w:t>
            </w:r>
            <w:r>
              <w:rPr>
                <w:rFonts w:ascii="Verdana" w:hAnsi="Verdana"/>
              </w:rPr>
            </w:r>
            <w:r>
              <w:rPr>
                <w:rFonts w:ascii="Verdana" w:hAnsi="Verdana"/>
              </w:rPr>
            </w:r>
          </w:p>
        </w:tc>
        <w:tc>
          <w:tcPr>
            <w:tcBorders/>
            <w:tcW w:w="2374" w:type="dxa"/>
            <w:textDirection w:val="lrTb"/>
            <w:noWrap w:val="false"/>
          </w:tcPr>
          <w:p w14:paraId="6046C323">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After identifying a misconfiguration, the adversary exploited it to gain elevated privileges on the system.</w:t>
            </w:r>
            <w:r>
              <w:rPr>
                <w:rFonts w:ascii="Verdana" w:hAnsi="Verdana"/>
                <w:highlight w:val="none"/>
                <w:lang w:val="en"/>
              </w:rPr>
              <w:t xml:space="preserve">”</w:t>
            </w:r>
            <w:r>
              <w:rPr>
                <w:rFonts w:ascii="Verdana" w:hAnsi="Verdana"/>
                <w:highlight w:val="none"/>
              </w:rPr>
            </w:r>
            <w:r>
              <w:rPr>
                <w:rFonts w:ascii="Verdana" w:hAnsi="Verdana"/>
                <w:highlight w:val="none"/>
              </w:rPr>
            </w:r>
          </w:p>
          <w:p w14:paraId="7F9859ED">
            <w:pPr>
              <w:pBdr/>
              <w:spacing/>
              <w:ind/>
              <w:rPr>
                <w:rFonts w:ascii="Verdana" w:hAnsi="Verdana"/>
                <w:b/>
                <w:bCs/>
              </w:rPr>
            </w:pPr>
            <w:r>
              <w:rPr>
                <w:rFonts w:ascii="Verdana" w:hAnsi="Verdana"/>
                <w:lang w:val="en"/>
              </w:rPr>
            </w:r>
            <w:r>
              <w:rPr>
                <w:rFonts w:ascii="Verdana" w:hAnsi="Verdana"/>
                <w:b/>
                <w:bCs/>
              </w:rPr>
            </w:r>
            <w:r>
              <w:rPr>
                <w:rFonts w:ascii="Verdana" w:hAnsi="Verdana"/>
                <w:b/>
                <w:bCs/>
              </w:rPr>
            </w:r>
          </w:p>
        </w:tc>
        <w:tc>
          <w:tcPr>
            <w:tcBorders/>
            <w:tcW w:w="2121" w:type="dxa"/>
            <w:textDirection w:val="lrTb"/>
            <w:noWrap w:val="false"/>
          </w:tcPr>
          <w:p w14:paraId="5D634222" w14:textId="77777777">
            <w:pPr>
              <w:pBdr/>
              <w:spacing/>
              <w:ind/>
              <w:rPr>
                <w:rFonts w:ascii="Verdana" w:hAnsi="Verdana"/>
              </w:rPr>
            </w:pPr>
            <w:r>
              <w:rPr>
                <w:rFonts w:ascii="Verdana" w:hAnsi="Verdana"/>
                <w:lang w:val="en"/>
              </w:rPr>
              <w:t xml:space="preserve">Privillege escalation</w:t>
            </w:r>
            <w:r>
              <w:rPr>
                <w:rFonts w:ascii="Verdana" w:hAnsi="Verdana"/>
              </w:rPr>
            </w:r>
            <w:r>
              <w:rPr>
                <w:rFonts w:ascii="Verdana" w:hAnsi="Verdana"/>
              </w:rPr>
            </w:r>
          </w:p>
        </w:tc>
        <w:tc>
          <w:tcPr>
            <w:tcBorders/>
            <w:tcW w:w="2059" w:type="dxa"/>
            <w:textDirection w:val="lrTb"/>
            <w:noWrap w:val="false"/>
          </w:tcPr>
          <w:p w14:paraId="43ECEB24" w14:textId="77777777">
            <w:pPr>
              <w:pBdr/>
              <w:spacing/>
              <w:ind/>
              <w:rPr>
                <w:rFonts w:ascii="Verdana" w:hAnsi="Verdana"/>
              </w:rPr>
            </w:pPr>
            <w:r>
              <w:rPr>
                <w:rFonts w:ascii="Verdana" w:hAnsi="Verdana"/>
                <w:lang w:val="en"/>
              </w:rPr>
              <w:t xml:space="preserve">Exploitation for privillege escalation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T1068</w:t>
            </w:r>
            <w:r>
              <w:rPr>
                <w:rFonts w:ascii="Verdana" w:hAnsi="Verdana"/>
              </w:rPr>
            </w:r>
            <w:r>
              <w:rPr>
                <w:rFonts w:ascii="Verdana" w:hAnsi="Verdana"/>
              </w:rPr>
            </w:r>
          </w:p>
        </w:tc>
        <w:tc>
          <w:tcPr>
            <w:tcBorders/>
            <w:tcW w:w="3950" w:type="dxa"/>
            <w:textDirection w:val="lrTb"/>
            <w:noWrap w:val="false"/>
          </w:tcPr>
          <w:p w14:paraId="7305A748" w14:textId="77777777">
            <w:pPr>
              <w:pBdr/>
              <w:spacing/>
              <w:ind/>
              <w:rPr>
                <w:rFonts w:ascii="Verdana" w:hAnsi="Verdana"/>
              </w:rPr>
            </w:pPr>
            <w:r>
              <w:rPr>
                <w:rFonts w:ascii="Verdana" w:hAnsi="Verdana"/>
                <w:lang w:val="en"/>
              </w:rPr>
              <w:t xml:space="preserve">The threat actor identified and exploited a misconfiguration to escalate their privilleges</w:t>
            </w:r>
            <w:r>
              <w:rPr>
                <w:rFonts w:ascii="Verdana" w:hAnsi="Verdana"/>
              </w:rPr>
            </w:r>
            <w:r>
              <w:rPr>
                <w:rFonts w:ascii="Verdana" w:hAnsi="Verdana"/>
              </w:rPr>
            </w:r>
          </w:p>
        </w:tc>
      </w:tr>
      <w:tr>
        <w:trPr/>
        <w:tc>
          <w:tcPr>
            <w:tcBorders/>
            <w:tcW w:w="437" w:type="dxa"/>
            <w:vMerge w:val="restart"/>
            <w:textDirection w:val="lrTb"/>
            <w:noWrap w:val="false"/>
          </w:tcPr>
          <w:p w14:paraId="4AE1DDE3">
            <w:pPr>
              <w:pBdr/>
              <w:spacing/>
              <w:ind/>
              <w:rPr>
                <w:rFonts w:ascii="Verdana" w:hAnsi="Verdana"/>
              </w:rPr>
            </w:pPr>
            <w:r>
              <w:rPr>
                <w:rFonts w:ascii="Verdana" w:hAnsi="Verdana"/>
                <w:lang w:val="en"/>
              </w:rPr>
              <w:t xml:space="preserve">7</w:t>
            </w:r>
            <w:r>
              <w:rPr>
                <w:rFonts w:ascii="Verdana" w:hAnsi="Verdana"/>
              </w:rPr>
            </w:r>
            <w:r>
              <w:rPr>
                <w:rFonts w:ascii="Verdana" w:hAnsi="Verdana"/>
              </w:rPr>
            </w:r>
          </w:p>
        </w:tc>
        <w:tc>
          <w:tcPr>
            <w:tcBorders/>
            <w:tcW w:w="3007" w:type="dxa"/>
            <w:vMerge w:val="restart"/>
            <w:textDirection w:val="lrTb"/>
            <w:noWrap w:val="false"/>
          </w:tcPr>
          <w:p w14:paraId="6E668498">
            <w:pPr>
              <w:pBdr/>
              <w:spacing/>
              <w:ind/>
              <w:rPr>
                <w:rFonts w:ascii="Verdana" w:hAnsi="Verdana"/>
                <w:highlight w:val="none"/>
              </w:rPr>
            </w:pPr>
            <w:r>
              <w:rPr>
                <w:rFonts w:ascii="Verdana" w:hAnsi="Verdana"/>
                <w:highlight w:val="none"/>
                <w:lang w:val="en"/>
              </w:rPr>
              <w:t xml:space="preserve">Accessed protected files</w:t>
            </w:r>
            <w:r>
              <w:rPr>
                <w:rFonts w:ascii="Verdana" w:hAnsi="Verdana"/>
                <w:highlight w:val="none"/>
              </w:rPr>
            </w:r>
            <w:r>
              <w:rPr>
                <w:rFonts w:ascii="Verdana" w:hAnsi="Verdana"/>
                <w:highlight w:val="none"/>
              </w:rPr>
            </w:r>
          </w:p>
        </w:tc>
        <w:tc>
          <w:tcPr>
            <w:tcBorders/>
            <w:tcW w:w="2374" w:type="dxa"/>
            <w:vMerge w:val="restart"/>
            <w:textDirection w:val="lrTb"/>
            <w:noWrap w:val="false"/>
          </w:tcPr>
          <w:p w14:paraId="26C6BADD">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With higher privileges, the attacker accessed protected files containing stored credentials.</w:t>
            </w:r>
            <w:r>
              <w:rPr>
                <w:rFonts w:ascii="Verdana" w:hAnsi="Verdana"/>
                <w:highlight w:val="none"/>
                <w:lang w:val="en"/>
              </w:rPr>
              <w:t xml:space="preserve">”</w:t>
            </w:r>
            <w:r>
              <w:rPr>
                <w:rFonts w:ascii="Verdana" w:hAnsi="Verdana"/>
                <w:highlight w:val="none"/>
              </w:rPr>
            </w:r>
            <w:r>
              <w:rPr>
                <w:rFonts w:ascii="Verdana" w:hAnsi="Verdana"/>
                <w:highlight w:val="none"/>
              </w:rPr>
            </w:r>
          </w:p>
          <w:p w14:paraId="5C1CEEF1">
            <w:pPr>
              <w:pBdr/>
              <w:spacing/>
              <w:ind/>
              <w:rPr>
                <w:rFonts w:ascii="Verdana" w:hAnsi="Verdana"/>
                <w:highlight w:val="none"/>
              </w:rPr>
            </w:pPr>
            <w:r>
              <w:rPr>
                <w:rFonts w:ascii="Verdana" w:hAnsi="Verdana"/>
                <w:highlight w:val="none"/>
              </w:rPr>
            </w:r>
            <w:r>
              <w:rPr>
                <w:rFonts w:ascii="Verdana" w:hAnsi="Verdana"/>
                <w:highlight w:val="none"/>
              </w:rPr>
            </w:r>
            <w:r>
              <w:rPr>
                <w:rFonts w:ascii="Verdana" w:hAnsi="Verdana"/>
                <w:highlight w:val="none"/>
              </w:rPr>
            </w:r>
          </w:p>
        </w:tc>
        <w:tc>
          <w:tcPr>
            <w:tcBorders/>
            <w:tcW w:w="2121" w:type="dxa"/>
            <w:vMerge w:val="restart"/>
            <w:textDirection w:val="lrTb"/>
            <w:noWrap w:val="false"/>
          </w:tcPr>
          <w:p w14:paraId="11418C46">
            <w:pPr>
              <w:pBdr/>
              <w:spacing/>
              <w:ind/>
              <w:rPr>
                <w:rFonts w:ascii="Verdana" w:hAnsi="Verdana"/>
              </w:rPr>
            </w:pPr>
            <w:r>
              <w:rPr>
                <w:rFonts w:ascii="Verdana" w:hAnsi="Verdana"/>
                <w:lang w:val="en"/>
              </w:rPr>
              <w:t xml:space="preserve">Credential access</w:t>
            </w:r>
            <w:r>
              <w:rPr>
                <w:rFonts w:ascii="Verdana" w:hAnsi="Verdana"/>
              </w:rPr>
            </w:r>
            <w:r>
              <w:rPr>
                <w:rFonts w:ascii="Verdana" w:hAnsi="Verdana"/>
              </w:rPr>
            </w:r>
          </w:p>
        </w:tc>
        <w:tc>
          <w:tcPr>
            <w:tcBorders/>
            <w:tcW w:w="2059" w:type="dxa"/>
            <w:vMerge w:val="restart"/>
            <w:textDirection w:val="lrTb"/>
            <w:noWrap w:val="false"/>
          </w:tcPr>
          <w:p w14:paraId="77FD69EF">
            <w:pPr>
              <w:pBdr/>
              <w:spacing/>
              <w:ind/>
              <w:rPr>
                <w:rFonts w:ascii="Verdana" w:hAnsi="Verdana"/>
              </w:rPr>
            </w:pPr>
            <w:r>
              <w:rPr>
                <w:rFonts w:ascii="Liberation Sans" w:hAnsi="Liberation Sans" w:eastAsia="Liberation Sans" w:cs="Liberation Sans"/>
                <w:color w:val="39434c"/>
                <w:sz w:val="24"/>
                <w:highlight w:val="none"/>
              </w:rPr>
            </w:r>
            <w:r>
              <w:rPr>
                <w:rFonts w:ascii="Liberation Sans" w:hAnsi="Liberation Sans" w:eastAsia="Liberation Sans" w:cs="Liberation Sans"/>
                <w:color w:val="39434c"/>
                <w:sz w:val="24"/>
                <w:highlight w:val="none"/>
              </w:rPr>
            </w:r>
            <w:r>
              <w:rPr>
                <w:rFonts w:ascii="Verdana" w:hAnsi="Verdana"/>
              </w:rPr>
            </w:r>
          </w:p>
          <w:p w14:paraId="5A6D202E">
            <w:pPr>
              <w:pBdr/>
              <w:spacing/>
              <w:ind/>
              <w:rPr>
                <w:rFonts w:ascii="Liberation Sans" w:hAnsi="Liberation Sans" w:eastAsia="Liberation Sans" w:cs="Liberation Sans"/>
                <w:color w:val="39434c"/>
                <w:sz w:val="24"/>
                <w:szCs w:val="24"/>
                <w:highlight w:val="none"/>
              </w:rPr>
            </w:pPr>
            <w:r>
              <w:rPr>
                <w:rFonts w:ascii="Verdana" w:hAnsi="Verdana"/>
                <w:lang w:val="en"/>
              </w:rPr>
              <w:t xml:space="preserve">Credentials from password stores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T1555</w:t>
            </w:r>
            <w:r>
              <w:rPr>
                <w:rFonts w:ascii="Verdana" w:hAnsi="Verdana"/>
              </w:rPr>
            </w:r>
            <w:r>
              <w:rPr>
                <w:rFonts w:ascii="Liberation Sans" w:hAnsi="Liberation Sans" w:eastAsia="Liberation Sans" w:cs="Liberation Sans"/>
                <w:color w:val="39434c"/>
                <w:sz w:val="24"/>
                <w:szCs w:val="24"/>
                <w:highlight w:val="none"/>
              </w:rPr>
            </w:r>
          </w:p>
        </w:tc>
        <w:tc>
          <w:tcPr>
            <w:tcBorders/>
            <w:tcW w:w="3950" w:type="dxa"/>
            <w:vMerge w:val="restart"/>
            <w:textDirection w:val="lrTb"/>
            <w:noWrap w:val="false"/>
          </w:tcPr>
          <w:p w14:paraId="3BD54CE1">
            <w:pPr>
              <w:pBdr/>
              <w:spacing/>
              <w:ind/>
              <w:rPr>
                <w:rFonts w:ascii="Verdana" w:hAnsi="Verdana"/>
              </w:rPr>
            </w:pPr>
            <w:r>
              <w:rPr>
                <w:rFonts w:ascii="Verdana" w:hAnsi="Verdana"/>
                <w:lang w:val="en"/>
              </w:rPr>
              <w:t xml:space="preserve">The threat actor used their privelleges to access protected files that contained stored credentials</w:t>
            </w:r>
            <w:r>
              <w:rPr>
                <w:rFonts w:ascii="Verdana" w:hAnsi="Verdana"/>
              </w:rPr>
            </w:r>
            <w:r>
              <w:rPr>
                <w:rFonts w:ascii="Verdana" w:hAnsi="Verdana"/>
              </w:rPr>
            </w:r>
          </w:p>
        </w:tc>
      </w:tr>
      <w:tr>
        <w:trPr/>
        <w:tc>
          <w:tcPr>
            <w:tcBorders/>
            <w:tcW w:w="437" w:type="dxa"/>
            <w:vMerge w:val="restart"/>
            <w:textDirection w:val="lrTb"/>
            <w:noWrap w:val="false"/>
          </w:tcPr>
          <w:p w14:paraId="467D1166">
            <w:pPr>
              <w:pBdr/>
              <w:spacing/>
              <w:ind/>
              <w:rPr>
                <w:rFonts w:ascii="Verdana" w:hAnsi="Verdana"/>
                <w:lang w:val="en"/>
              </w:rPr>
            </w:pPr>
            <w:r>
              <w:rPr>
                <w:rFonts w:ascii="Verdana" w:hAnsi="Verdana"/>
                <w:lang w:val="en"/>
              </w:rPr>
              <w:t xml:space="preserve">8</w:t>
            </w:r>
            <w:r>
              <w:rPr>
                <w:rFonts w:ascii="Verdana" w:hAnsi="Verdana"/>
                <w:lang w:val="en"/>
              </w:rPr>
            </w:r>
            <w:r>
              <w:rPr>
                <w:rFonts w:ascii="Verdana" w:hAnsi="Verdana"/>
                <w:lang w:val="en"/>
              </w:rPr>
            </w:r>
          </w:p>
        </w:tc>
        <w:tc>
          <w:tcPr>
            <w:tcBorders/>
            <w:tcW w:w="3007" w:type="dxa"/>
            <w:vMerge w:val="restart"/>
            <w:textDirection w:val="lrTb"/>
            <w:noWrap w:val="false"/>
          </w:tcPr>
          <w:p w14:paraId="11C09062">
            <w:pPr>
              <w:pBdr/>
              <w:spacing/>
              <w:ind/>
              <w:rPr>
                <w:rFonts w:ascii="Verdana" w:hAnsi="Verdana"/>
              </w:rPr>
            </w:pPr>
            <w:r>
              <w:rPr>
                <w:rFonts w:ascii="Verdana" w:hAnsi="Verdana"/>
                <w:lang w:val="en"/>
              </w:rPr>
              <w:t xml:space="preserve">Used stolen credentials</w:t>
            </w:r>
            <w:r>
              <w:rPr>
                <w:rFonts w:ascii="Verdana" w:hAnsi="Verdana"/>
              </w:rPr>
            </w:r>
            <w:r>
              <w:rPr>
                <w:rFonts w:ascii="Verdana" w:hAnsi="Verdana"/>
              </w:rPr>
            </w:r>
          </w:p>
        </w:tc>
        <w:tc>
          <w:tcPr>
            <w:tcBorders/>
            <w:tcW w:w="2374" w:type="dxa"/>
            <w:vMerge w:val="restart"/>
            <w:textDirection w:val="lrTb"/>
            <w:noWrap w:val="false"/>
          </w:tcPr>
          <w:p w14:paraId="1BC9B071">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The adversary then used the stolen credentials to access shared resources on other internal systems.</w:t>
            </w:r>
            <w:r>
              <w:rPr>
                <w:rFonts w:ascii="Verdana" w:hAnsi="Verdana"/>
                <w:highlight w:val="none"/>
                <w:lang w:val="en"/>
              </w:rPr>
              <w:t xml:space="preserve">”</w:t>
            </w:r>
            <w:r>
              <w:rPr>
                <w:rFonts w:ascii="Verdana" w:hAnsi="Verdana"/>
                <w:highlight w:val="none"/>
              </w:rPr>
            </w:r>
            <w:r>
              <w:rPr>
                <w:rFonts w:ascii="Verdana" w:hAnsi="Verdana"/>
                <w:highlight w:val="none"/>
              </w:rPr>
            </w:r>
          </w:p>
        </w:tc>
        <w:tc>
          <w:tcPr>
            <w:tcBorders/>
            <w:tcW w:w="2121" w:type="dxa"/>
            <w:vMerge w:val="restart"/>
            <w:textDirection w:val="lrTb"/>
            <w:noWrap w:val="false"/>
          </w:tcPr>
          <w:p w14:paraId="66CF488E">
            <w:pPr>
              <w:pBdr/>
              <w:spacing/>
              <w:ind/>
              <w:rPr>
                <w:rFonts w:ascii="Verdana" w:hAnsi="Verdana"/>
              </w:rPr>
            </w:pPr>
            <w:r>
              <w:rPr>
                <w:rFonts w:ascii="Verdana" w:hAnsi="Verdana"/>
                <w:lang w:val="en"/>
              </w:rPr>
              <w:t xml:space="preserve">Lateral movement</w:t>
            </w:r>
            <w:r>
              <w:rPr>
                <w:rFonts w:ascii="Verdana" w:hAnsi="Verdana"/>
              </w:rPr>
            </w:r>
            <w:r>
              <w:rPr>
                <w:rFonts w:ascii="Verdana" w:hAnsi="Verdana"/>
              </w:rPr>
            </w:r>
          </w:p>
        </w:tc>
        <w:tc>
          <w:tcPr>
            <w:tcBorders/>
            <w:tcW w:w="2059" w:type="dxa"/>
            <w:vMerge w:val="restart"/>
            <w:textDirection w:val="lrTb"/>
            <w:noWrap w:val="false"/>
          </w:tcPr>
          <w:p w14:paraId="1D5C5297">
            <w:pPr>
              <w:pBdr/>
              <w:spacing/>
              <w:ind/>
              <w:rPr>
                <w:rFonts w:ascii="Verdana" w:hAnsi="Verdana"/>
              </w:rPr>
            </w:pPr>
            <w:r>
              <w:rPr>
                <w:rFonts w:ascii="Verdana" w:hAnsi="Verdana"/>
                <w:lang w:val="en"/>
              </w:rPr>
              <w:t xml:space="preserve">Use alternate authentication material</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T1550</w:t>
            </w:r>
            <w:r>
              <w:rPr>
                <w:rFonts w:ascii="Verdana" w:hAnsi="Verdana"/>
              </w:rPr>
            </w:r>
            <w:r>
              <w:rPr>
                <w:rFonts w:ascii="Verdana" w:hAnsi="Verdana"/>
              </w:rPr>
            </w:r>
          </w:p>
        </w:tc>
        <w:tc>
          <w:tcPr>
            <w:tcBorders/>
            <w:tcW w:w="3950" w:type="dxa"/>
            <w:vMerge w:val="restart"/>
            <w:textDirection w:val="lrTb"/>
            <w:noWrap w:val="false"/>
          </w:tcPr>
          <w:p w14:paraId="715D6915">
            <w:pPr>
              <w:pBdr/>
              <w:spacing/>
              <w:ind/>
              <w:rPr>
                <w:rFonts w:ascii="Verdana" w:hAnsi="Verdana"/>
              </w:rPr>
            </w:pPr>
            <w:r>
              <w:rPr>
                <w:rFonts w:ascii="Verdana" w:hAnsi="Verdana"/>
                <w:lang w:val="en"/>
              </w:rPr>
              <w:t xml:space="preserve">The threat actor used the credentials they accessed from escalating their privilleges to access more resources on other internal systems</w:t>
            </w:r>
            <w:r>
              <w:rPr>
                <w:rFonts w:ascii="Verdana" w:hAnsi="Verdana"/>
              </w:rPr>
            </w:r>
            <w:r>
              <w:rPr>
                <w:rFonts w:ascii="Verdana" w:hAnsi="Verdana"/>
              </w:rPr>
            </w:r>
          </w:p>
        </w:tc>
      </w:tr>
      <w:tr>
        <w:trPr/>
        <w:tc>
          <w:tcPr>
            <w:tcBorders/>
            <w:tcW w:w="437" w:type="dxa"/>
            <w:vMerge w:val="restart"/>
            <w:textDirection w:val="lrTb"/>
            <w:noWrap w:val="false"/>
          </w:tcPr>
          <w:p w14:paraId="5E008D64">
            <w:pPr>
              <w:pBdr/>
              <w:spacing/>
              <w:ind/>
              <w:rPr>
                <w:rFonts w:ascii="Verdana" w:hAnsi="Verdana"/>
                <w:lang w:val="en"/>
              </w:rPr>
            </w:pPr>
            <w:r>
              <w:rPr>
                <w:rFonts w:ascii="Verdana" w:hAnsi="Verdana"/>
                <w:lang w:val="en"/>
              </w:rPr>
              <w:t xml:space="preserve">9</w:t>
            </w:r>
            <w:r>
              <w:rPr>
                <w:rFonts w:ascii="Verdana" w:hAnsi="Verdana"/>
                <w:lang w:val="en"/>
              </w:rPr>
            </w:r>
            <w:r>
              <w:rPr>
                <w:rFonts w:ascii="Verdana" w:hAnsi="Verdana"/>
                <w:lang w:val="en"/>
              </w:rPr>
            </w:r>
          </w:p>
        </w:tc>
        <w:tc>
          <w:tcPr>
            <w:tcBorders/>
            <w:tcW w:w="3007" w:type="dxa"/>
            <w:vMerge w:val="restart"/>
            <w:textDirection w:val="lrTb"/>
            <w:noWrap w:val="false"/>
          </w:tcPr>
          <w:p w14:paraId="0DA49E45">
            <w:pPr>
              <w:pBdr/>
              <w:spacing/>
              <w:ind/>
              <w:rPr>
                <w:rFonts w:ascii="Verdana" w:hAnsi="Verdana"/>
              </w:rPr>
            </w:pPr>
            <w:r>
              <w:rPr>
                <w:rFonts w:ascii="Verdana" w:hAnsi="Verdana"/>
                <w:lang w:val="en"/>
              </w:rPr>
              <w:t xml:space="preserve">Collected sensitive documents</w:t>
            </w:r>
            <w:r>
              <w:rPr>
                <w:rFonts w:ascii="Verdana" w:hAnsi="Verdana"/>
              </w:rPr>
            </w:r>
            <w:r>
              <w:rPr>
                <w:rFonts w:ascii="Verdana" w:hAnsi="Verdana"/>
              </w:rPr>
            </w:r>
          </w:p>
        </w:tc>
        <w:tc>
          <w:tcPr>
            <w:tcBorders/>
            <w:tcW w:w="2374" w:type="dxa"/>
            <w:vMerge w:val="restart"/>
            <w:textDirection w:val="lrTb"/>
            <w:noWrap w:val="false"/>
          </w:tcPr>
          <w:p w14:paraId="70E8E650">
            <w:pPr>
              <w:pBdr/>
              <w:spacing w:after="160" w:line="259" w:lineRule="auto"/>
              <w:ind/>
              <w:rPr>
                <w:rFonts w:ascii="Verdana" w:hAnsi="Verdana"/>
                <w:highlight w:val="none"/>
              </w:rPr>
            </w:pPr>
            <w:r>
              <w:rPr>
                <w:rFonts w:ascii="Verdana" w:hAnsi="Verdana"/>
                <w:highlight w:val="none"/>
                <w:lang w:val="en"/>
              </w:rPr>
              <w:t xml:space="preserve">“</w:t>
            </w:r>
            <w:r>
              <w:rPr>
                <w:rFonts w:ascii="Verdana" w:hAnsi="Verdana"/>
                <w:highlight w:val="none"/>
              </w:rPr>
              <w:t xml:space="preserve">Finally, the attacker collected sensitive documents from multiple systems.</w:t>
            </w:r>
            <w:r>
              <w:rPr>
                <w:rFonts w:ascii="Verdana" w:hAnsi="Verdana"/>
                <w:highlight w:val="none"/>
                <w:lang w:val="en"/>
              </w:rPr>
              <w:t xml:space="preserve">”</w:t>
            </w:r>
            <w:r>
              <w:rPr>
                <w:rFonts w:ascii="Verdana" w:hAnsi="Verdana"/>
                <w:highlight w:val="none"/>
              </w:rPr>
            </w:r>
            <w:r>
              <w:rPr>
                <w:rFonts w:ascii="Verdana" w:hAnsi="Verdana"/>
                <w:highlight w:val="none"/>
              </w:rPr>
            </w:r>
          </w:p>
          <w:p w14:paraId="38B53412">
            <w:pPr>
              <w:pBdr/>
              <w:spacing/>
              <w:ind/>
              <w:rPr>
                <w:rFonts w:ascii="Verdana" w:hAnsi="Verdana"/>
              </w:rPr>
            </w:pPr>
            <w:r>
              <w:rPr>
                <w:rFonts w:ascii="Verdana" w:hAnsi="Verdana"/>
              </w:rPr>
            </w:r>
            <w:r>
              <w:rPr>
                <w:rFonts w:ascii="Verdana" w:hAnsi="Verdana"/>
              </w:rPr>
            </w:r>
            <w:r>
              <w:rPr>
                <w:rFonts w:ascii="Verdana" w:hAnsi="Verdana"/>
              </w:rPr>
            </w:r>
          </w:p>
        </w:tc>
        <w:tc>
          <w:tcPr>
            <w:tcBorders/>
            <w:tcW w:w="2121" w:type="dxa"/>
            <w:vMerge w:val="restart"/>
            <w:textDirection w:val="lrTb"/>
            <w:noWrap w:val="false"/>
          </w:tcPr>
          <w:p w14:paraId="024815DA">
            <w:pPr>
              <w:pBdr/>
              <w:spacing/>
              <w:ind/>
              <w:rPr>
                <w:rFonts w:ascii="Verdana" w:hAnsi="Verdana"/>
              </w:rPr>
            </w:pPr>
            <w:r>
              <w:rPr>
                <w:rFonts w:ascii="Verdana" w:hAnsi="Verdana"/>
                <w:lang w:val="en"/>
              </w:rPr>
              <w:t xml:space="preserve">collection</w:t>
            </w:r>
            <w:r>
              <w:rPr>
                <w:rFonts w:ascii="Verdana" w:hAnsi="Verdana"/>
              </w:rPr>
            </w:r>
            <w:r>
              <w:rPr>
                <w:rFonts w:ascii="Verdana" w:hAnsi="Verdana"/>
              </w:rPr>
            </w:r>
          </w:p>
        </w:tc>
        <w:tc>
          <w:tcPr>
            <w:tcBorders/>
            <w:tcW w:w="2059" w:type="dxa"/>
            <w:vMerge w:val="restart"/>
            <w:textDirection w:val="lrTb"/>
            <w:noWrap w:val="false"/>
          </w:tcPr>
          <w:p w14:paraId="444F86FD">
            <w:pPr>
              <w:pBdr/>
              <w:spacing/>
              <w:ind/>
              <w:rPr>
                <w:rFonts w:ascii="Verdana" w:hAnsi="Verdana"/>
              </w:rPr>
            </w:pPr>
            <w:r>
              <w:rPr>
                <w:rFonts w:ascii="Verdana" w:hAnsi="Verdana"/>
                <w:lang w:val="en"/>
              </w:rPr>
              <w:t xml:space="preserve">Data from local system </w:t>
            </w:r>
            <w:r>
              <w:br/>
            </w:r>
            <w:r>
              <w:rPr>
                <w:rFonts w:ascii="Liberation Sans" w:hAnsi="Liberation Sans" w:eastAsia="Liberation Sans" w:cs="Liberation Sans"/>
                <w:b/>
                <w:color w:val="1d2226"/>
                <w:sz w:val="26"/>
                <w:highlight w:val="white"/>
              </w:rPr>
              <w:t xml:space="preserve">ID: </w:t>
            </w:r>
            <w:r>
              <w:rPr>
                <w:rFonts w:ascii="Liberation Sans" w:hAnsi="Liberation Sans" w:eastAsia="Liberation Sans" w:cs="Liberation Sans"/>
                <w:color w:val="39434c"/>
                <w:sz w:val="24"/>
                <w:highlight w:val="white"/>
              </w:rPr>
              <w:t xml:space="preserve">T1005</w:t>
            </w:r>
            <w:r>
              <w:rPr>
                <w:rFonts w:ascii="Verdana" w:hAnsi="Verdana"/>
              </w:rPr>
            </w:r>
            <w:r>
              <w:rPr>
                <w:rFonts w:ascii="Verdana" w:hAnsi="Verdana"/>
              </w:rPr>
            </w:r>
          </w:p>
        </w:tc>
        <w:tc>
          <w:tcPr>
            <w:tcBorders/>
            <w:tcW w:w="3950" w:type="dxa"/>
            <w:vMerge w:val="restart"/>
            <w:textDirection w:val="lrTb"/>
            <w:noWrap w:val="false"/>
          </w:tcPr>
          <w:p w14:paraId="0C521A94">
            <w:pPr>
              <w:pBdr/>
              <w:spacing/>
              <w:ind/>
              <w:rPr>
                <w:rFonts w:ascii="Verdana" w:hAnsi="Verdana"/>
              </w:rPr>
            </w:pPr>
            <w:r>
              <w:rPr>
                <w:rFonts w:ascii="Verdana" w:hAnsi="Verdana"/>
                <w:lang w:val="en"/>
              </w:rPr>
              <w:t xml:space="preserve">The threat actor gathered sensitive information from multiple internal local systems</w:t>
            </w:r>
            <w:r>
              <w:rPr>
                <w:rFonts w:ascii="Verdana" w:hAnsi="Verdana"/>
              </w:rPr>
            </w:r>
            <w:r>
              <w:rPr>
                <w:rFonts w:ascii="Verdana" w:hAnsi="Verdana"/>
              </w:rPr>
            </w:r>
          </w:p>
        </w:tc>
      </w:tr>
    </w:tbl>
    <w:p w14:paraId="281009D3" w14:textId="77777777">
      <w:pPr>
        <w:pBdr/>
        <w:spacing/>
        <w:ind/>
        <w:rPr>
          <w:rFonts w:ascii="Verdana" w:hAnsi="Verdana"/>
        </w:rPr>
      </w:pPr>
      <w:r>
        <w:rPr>
          <w:rFonts w:ascii="Verdana" w:hAnsi="Verdana"/>
        </w:rPr>
      </w:r>
      <w:r>
        <w:rPr>
          <w:rFonts w:ascii="Verdana" w:hAnsi="Verdana"/>
        </w:rPr>
      </w:r>
      <w:r>
        <w:rPr>
          <w:rFonts w:ascii="Verdana" w:hAnsi="Verdana"/>
        </w:rPr>
      </w:r>
    </w:p>
    <w:p w14:paraId="7D349015" w14:textId="77777777">
      <w:pPr>
        <w:pBdr/>
        <w:spacing w:after="0" w:line="240" w:lineRule="auto"/>
        <w:ind/>
        <w:rPr>
          <w:rFonts w:ascii="Verdana" w:hAnsi="Verdana"/>
          <w:b/>
          <w:bCs/>
        </w:rPr>
      </w:pPr>
      <w:r>
        <w:rPr>
          <w:rFonts w:ascii="Verdana" w:hAnsi="Verdana"/>
          <w:b/>
          <w:bCs/>
        </w:rPr>
        <w:t xml:space="preserve">Group Reflection</w:t>
      </w:r>
      <w:r>
        <w:rPr>
          <w:rFonts w:ascii="Verdana" w:hAnsi="Verdana"/>
          <w:b/>
          <w:bCs/>
        </w:rPr>
        <w:t xml:space="preserve"> (15-20 mins)</w:t>
      </w:r>
      <w:r>
        <w:rPr>
          <w:rFonts w:ascii="Verdana" w:hAnsi="Verdana"/>
          <w:b/>
          <w:bCs/>
        </w:rPr>
      </w:r>
      <w:r>
        <w:rPr>
          <w:rFonts w:ascii="Verdana" w:hAnsi="Verdana"/>
          <w:b/>
          <w:bCs/>
        </w:rPr>
      </w:r>
    </w:p>
    <w:p w14:paraId="64887CA6" w14:textId="77777777">
      <w:pPr>
        <w:pBdr/>
        <w:tabs>
          <w:tab w:val="left" w:leader="none" w:pos="4952"/>
        </w:tabs>
        <w:spacing w:after="0" w:line="240" w:lineRule="auto"/>
        <w:ind/>
        <w:rPr>
          <w:rFonts w:ascii="Verdana" w:hAnsi="Verdana"/>
          <w:highlight w:val="none"/>
        </w:rPr>
      </w:pPr>
      <w:r>
        <w:rPr>
          <w:rFonts w:ascii="Verdana" w:hAnsi="Verdana"/>
        </w:rPr>
        <w:t xml:space="preserve">Add a short group reflection (100–150 words):</w:t>
      </w:r>
      <w:r>
        <w:rPr>
          <w:rFonts w:ascii="Verdana" w:hAnsi="Verdana"/>
          <w:lang w:val="en"/>
        </w:rPr>
        <w:t xml:space="preserve"> </w:t>
      </w:r>
      <w:r>
        <w:rPr>
          <w:rFonts w:ascii="Verdana" w:hAnsi="Verdana"/>
        </w:rPr>
        <w:tab/>
      </w:r>
      <w:r>
        <w:rPr>
          <w:rFonts w:ascii="Verdana" w:hAnsi="Verdana"/>
          <w:highlight w:val="none"/>
          <w:lang w:val="en"/>
        </w:rPr>
      </w:r>
      <w:r>
        <w:rPr>
          <w:rFonts w:ascii="Verdana" w:hAnsi="Verdana"/>
          <w:highlight w:val="none"/>
        </w:rPr>
      </w:r>
    </w:p>
    <w:p w14:paraId="755FAD8D">
      <w:pPr>
        <w:pBdr/>
        <w:tabs>
          <w:tab w:val="left" w:leader="none" w:pos="4952"/>
        </w:tabs>
        <w:spacing w:after="0" w:line="240" w:lineRule="auto"/>
        <w:ind/>
        <w:rPr>
          <w:rFonts w:ascii="Verdana" w:hAnsi="Verdana"/>
          <w:highlight w:val="none"/>
          <w:lang w:val="en"/>
        </w:rPr>
      </w:pPr>
      <w:r>
        <w:rPr>
          <w:rFonts w:ascii="Verdana" w:hAnsi="Verdana"/>
          <w:highlight w:val="none"/>
          <w:lang w:val="en"/>
        </w:rPr>
      </w:r>
      <w:r>
        <w:rPr>
          <w:rFonts w:ascii="Verdana" w:hAnsi="Verdana"/>
          <w:highlight w:val="none"/>
          <w:lang w:val="en"/>
        </w:rPr>
      </w:r>
      <w:r>
        <w:rPr>
          <w:rFonts w:ascii="Verdana" w:hAnsi="Verdana"/>
          <w:highlight w:val="none"/>
          <w:lang w:val="en"/>
        </w:rPr>
      </w:r>
    </w:p>
    <w:p w14:paraId="291A8363">
      <w:pPr>
        <w:pBdr/>
        <w:tabs>
          <w:tab w:val="left" w:leader="none" w:pos="4952"/>
        </w:tabs>
        <w:spacing w:after="0" w:line="240" w:lineRule="auto"/>
        <w:ind/>
        <w:rPr>
          <w:rFonts w:ascii="Verdana" w:hAnsi="Verdana"/>
          <w:highlight w:val="none"/>
          <w:lang w:val="en"/>
        </w:rPr>
      </w:pPr>
      <w:r>
        <w:rPr>
          <w:rFonts w:ascii="Verdana" w:hAnsi="Verdana"/>
          <w:highlight w:val="none"/>
          <w:lang w:val="en" w:bidi="en"/>
        </w:rPr>
        <w:t xml:space="preserve">Number 7 was the most diffiucult to map because we couldnt decide on a specific attack and the attackers behavior mimiced multiple similair attacks , number 7 also caused the most disagreement in our group as every invidual in o</w:t>
      </w:r>
      <w:r>
        <w:rPr>
          <w:rFonts w:ascii="Verdana" w:hAnsi="Verdana"/>
          <w:highlight w:val="none"/>
          <w:lang w:val="en" w:bidi="en"/>
        </w:rPr>
        <w:t xml:space="preserve">ur group suggested different tactics and techniques. We used the attackers previous actions e.g step 5,6 to decide what exatcly the attacker was trying to do and we found out he used his privilleges to access credentials stored in different types of files.</w:t>
      </w:r>
      <w:r>
        <w:rPr>
          <w:rFonts w:ascii="Verdana" w:hAnsi="Verdana"/>
          <w:highlight w:val="none"/>
          <w:lang w:val="en"/>
        </w:rPr>
      </w:r>
      <w:r>
        <w:rPr>
          <w:rFonts w:ascii="Verdana" w:hAnsi="Verdana"/>
          <w:highlight w:val="none"/>
          <w:lang w:val="en"/>
        </w:rPr>
      </w:r>
    </w:p>
    <w:p w14:paraId="157659EE">
      <w:pPr>
        <w:pBdr/>
        <w:spacing w:after="0" w:line="240" w:lineRule="auto"/>
        <w:ind/>
        <w:rPr>
          <w:rFonts w:ascii="Verdana" w:hAnsi="Verdana"/>
        </w:rPr>
      </w:pPr>
      <w:r>
        <w:rPr>
          <w:rFonts w:ascii="Verdana" w:hAnsi="Verdana"/>
          <w:highlight w:val="none"/>
          <w:lang w:val="en"/>
        </w:rPr>
      </w:r>
      <w:r>
        <w:rPr>
          <w:rFonts w:ascii="Verdana" w:hAnsi="Verdana"/>
          <w:highlight w:val="none"/>
          <w:lang w:val="en"/>
        </w:rPr>
      </w:r>
      <w:r>
        <w:rPr>
          <w:rFonts w:ascii="Verdana" w:hAnsi="Verdana"/>
        </w:rPr>
      </w:r>
    </w:p>
    <w:p w14:paraId="6322D26E" w14:textId="77777777">
      <w:pPr>
        <w:pStyle w:val="893"/>
        <w:numPr>
          <w:ilvl w:val="0"/>
          <w:numId w:val="3"/>
        </w:numPr>
        <w:pBdr/>
        <w:spacing w:after="0" w:line="240" w:lineRule="auto"/>
        <w:ind/>
        <w:rPr>
          <w:rFonts w:ascii="Verdana" w:hAnsi="Verdana"/>
        </w:rPr>
      </w:pPr>
      <w:r>
        <w:rPr>
          <w:rFonts w:ascii="Verdana" w:hAnsi="Verdana"/>
        </w:rPr>
        <w:t xml:space="preserve">Which attacker behaviour was the most difficult to map, and why?</w:t>
      </w:r>
      <w:r>
        <w:rPr>
          <w:rFonts w:ascii="Verdana" w:hAnsi="Verdana"/>
        </w:rPr>
      </w:r>
      <w:r>
        <w:rPr>
          <w:rFonts w:ascii="Verdana" w:hAnsi="Verdana"/>
        </w:rPr>
      </w:r>
    </w:p>
    <w:p w14:paraId="49EFB5E7" w14:textId="77777777">
      <w:pPr>
        <w:pStyle w:val="893"/>
        <w:numPr>
          <w:ilvl w:val="0"/>
          <w:numId w:val="3"/>
        </w:numPr>
        <w:pBdr/>
        <w:spacing w:after="0" w:line="240" w:lineRule="auto"/>
        <w:ind/>
        <w:rPr>
          <w:rFonts w:ascii="Verdana" w:hAnsi="Verdana"/>
        </w:rPr>
      </w:pPr>
      <w:r>
        <w:rPr>
          <w:rFonts w:ascii="Verdana" w:hAnsi="Verdana"/>
        </w:rPr>
        <w:t xml:space="preserve">Which attacker behaviour generated the most disagreement within your group, and how did you resolve it? </w:t>
      </w:r>
      <w:r>
        <w:rPr>
          <w:rFonts w:ascii="Verdana" w:hAnsi="Verdana"/>
        </w:rPr>
      </w:r>
      <w:r>
        <w:rPr>
          <w:rFonts w:ascii="Verdana" w:hAnsi="Verdana"/>
        </w:rPr>
      </w:r>
    </w:p>
    <w:p w14:paraId="0C2246FF" w14:textId="12DB75F7">
      <w:pPr>
        <w:pStyle w:val="893"/>
        <w:numPr>
          <w:ilvl w:val="0"/>
          <w:numId w:val="3"/>
        </w:numPr>
        <w:pBdr/>
        <w:spacing w:after="0" w:line="240" w:lineRule="auto"/>
        <w:ind/>
        <w:rPr>
          <w:rFonts w:ascii="Verdana" w:hAnsi="Verdana"/>
        </w:rPr>
      </w:pPr>
      <w:r>
        <w:rPr>
          <w:rFonts w:ascii="Verdana" w:hAnsi="Verdana"/>
        </w:rPr>
        <w:t xml:space="preserve">What criteria helped you decide between multiple possible tactics or techniques</w:t>
      </w:r>
      <w:r>
        <w:rPr>
          <w:rFonts w:ascii="Verdana" w:hAnsi="Verdana"/>
        </w:rPr>
        <w:t xml:space="preserve">(e.g., attacker intent, sequence of actions, or impact)</w:t>
      </w:r>
      <w:r>
        <w:rPr>
          <w:rFonts w:ascii="Verdana" w:hAnsi="Verdana"/>
        </w:rPr>
        <w:t xml:space="preserve">?</w:t>
      </w:r>
      <w:r>
        <w:rPr>
          <w:rFonts w:ascii="Verdana" w:hAnsi="Verdana"/>
          <w:lang w:val="en"/>
        </w:rPr>
        <w:t xml:space="preserve"> </w:t>
      </w:r>
      <w:r>
        <w:rPr>
          <w:rFonts w:ascii="Verdana" w:hAnsi="Verdana"/>
        </w:rPr>
      </w:r>
      <w:r>
        <w:rPr>
          <w:rFonts w:ascii="Verdana" w:hAnsi="Verdana"/>
        </w:rPr>
      </w:r>
    </w:p>
    <w:p w14:paraId="2B23EC59">
      <w:pPr>
        <w:pBdr/>
        <w:spacing w:after="0" w:line="240" w:lineRule="auto"/>
        <w:ind w:firstLine="0" w:left="720"/>
        <w:rPr>
          <w:rFonts w:ascii="Verdana" w:hAnsi="Verdana"/>
        </w:rPr>
      </w:pPr>
      <w:r>
        <w:rPr>
          <w:rFonts w:ascii="Verdana" w:hAnsi="Verdana"/>
          <w:highlight w:val="none"/>
          <w:lang w:val="en"/>
        </w:rPr>
      </w:r>
      <w:r>
        <w:rPr>
          <w:rFonts w:ascii="Verdana" w:hAnsi="Verdana"/>
          <w:highlight w:val="none"/>
          <w:lang w:val="en"/>
        </w:rPr>
      </w:r>
      <w:r>
        <w:rPr>
          <w:rFonts w:ascii="Verdana" w:hAnsi="Verdana"/>
        </w:rPr>
      </w:r>
    </w:p>
    <w:p w14:paraId="1A0A6394" w14:textId="77777777">
      <w:pPr>
        <w:pBdr/>
        <w:spacing w:after="0" w:line="240" w:lineRule="auto"/>
        <w:ind/>
        <w:rPr>
          <w:rFonts w:ascii="Verdana" w:hAnsi="Verdana"/>
        </w:rPr>
      </w:pPr>
      <w:r>
        <w:rPr>
          <w:rFonts w:ascii="Verdana" w:hAnsi="Verdana"/>
        </w:rPr>
      </w:r>
      <w:r>
        <w:rPr>
          <w:rFonts w:ascii="Verdana" w:hAnsi="Verdana"/>
        </w:rPr>
      </w:r>
      <w:r>
        <w:rPr>
          <w:rFonts w:ascii="Verdana" w:hAnsi="Verdana"/>
        </w:rPr>
      </w:r>
    </w:p>
    <w:p w14:paraId="46772625" w14:textId="77777777">
      <w:pPr>
        <w:pBdr/>
        <w:spacing w:after="0" w:line="240" w:lineRule="auto"/>
        <w:ind/>
        <w:rPr>
          <w:rFonts w:ascii="Verdana" w:hAnsi="Verdana"/>
        </w:rPr>
      </w:pPr>
      <w:r>
        <w:rPr>
          <w:rFonts w:ascii="Verdana" w:hAnsi="Verdana"/>
        </w:rPr>
      </w:r>
      <w:r>
        <w:rPr>
          <w:rFonts w:ascii="Verdana" w:hAnsi="Verdana"/>
        </w:rPr>
      </w:r>
      <w:r>
        <w:rPr>
          <w:rFonts w:ascii="Verdana" w:hAnsi="Verdana"/>
        </w:rPr>
      </w:r>
    </w:p>
    <w:p w14:paraId="4DEC7F05" w14:textId="77777777">
      <w:pPr>
        <w:pBdr/>
        <w:spacing w:after="0" w:line="240" w:lineRule="auto"/>
        <w:ind/>
        <w:rPr>
          <w:rFonts w:ascii="Verdana" w:hAnsi="Verdana"/>
        </w:rPr>
      </w:pPr>
      <w:r>
        <w:rPr>
          <w:rFonts w:ascii="Verdana" w:hAnsi="Verdana"/>
        </w:rPr>
      </w:r>
      <w:r>
        <w:rPr>
          <w:rFonts w:ascii="Verdana" w:hAnsi="Verdana"/>
        </w:rPr>
      </w:r>
      <w:r>
        <w:rPr>
          <w:rFonts w:ascii="Verdana" w:hAnsi="Verdana"/>
        </w:rPr>
      </w:r>
    </w:p>
    <w:p w14:paraId="778961A2" w14:textId="77777777">
      <w:pPr>
        <w:pBdr/>
        <w:spacing w:after="0" w:line="240" w:lineRule="auto"/>
        <w:ind/>
        <w:rPr>
          <w:rFonts w:ascii="Verdana" w:hAnsi="Verdana"/>
          <w:b/>
          <w:bCs/>
          <w:highlight w:val="yellow"/>
        </w:rPr>
      </w:pPr>
      <w:r>
        <w:rPr>
          <w:rFonts w:ascii="Verdana" w:hAnsi="Verdana"/>
          <w:b/>
          <w:bCs/>
        </w:rPr>
        <w:t xml:space="preserve">Individual Reflection</w:t>
      </w:r>
      <w:r>
        <w:rPr>
          <w:rFonts w:ascii="Verdana" w:hAnsi="Verdana"/>
          <w:b/>
          <w:bCs/>
        </w:rPr>
        <w:t xml:space="preserve"> (10-15 mins) – </w:t>
      </w:r>
      <w:r>
        <w:rPr>
          <w:rFonts w:ascii="Verdana" w:hAnsi="Verdana"/>
          <w:b/>
          <w:bCs/>
          <w:lang w:val="en"/>
        </w:rPr>
        <w:t xml:space="preserve">Velen Tikhonov , B00169434</w:t>
      </w:r>
      <w:r>
        <w:rPr>
          <w:rFonts w:ascii="Verdana" w:hAnsi="Verdana"/>
          <w:b/>
          <w:bCs/>
        </w:rPr>
        <w:t xml:space="preserve">- </w:t>
      </w:r>
      <w:r>
        <w:rPr>
          <w:rFonts w:ascii="Verdana" w:hAnsi="Verdana"/>
          <w:b/>
          <w:bCs/>
          <w:highlight w:val="yellow"/>
        </w:rPr>
      </w:r>
      <w:r>
        <w:rPr>
          <w:rFonts w:ascii="Verdana" w:hAnsi="Verdana"/>
          <w:b/>
          <w:bCs/>
          <w:highlight w:val="yellow"/>
        </w:rPr>
      </w:r>
    </w:p>
    <w:p w14:paraId="21B96DEB" w14:textId="77777777">
      <w:pPr>
        <w:pBdr/>
        <w:tabs>
          <w:tab w:val="center" w:leader="none" w:pos="6979"/>
        </w:tabs>
        <w:spacing w:after="0" w:line="240" w:lineRule="auto"/>
        <w:ind/>
        <w:rPr>
          <w:rFonts w:ascii="Verdana" w:hAnsi="Verdana"/>
          <w:highlight w:val="none"/>
        </w:rPr>
      </w:pPr>
      <w:r>
        <w:rPr>
          <w:rFonts w:ascii="Verdana" w:hAnsi="Verdana"/>
        </w:rPr>
        <w:t xml:space="preserve">Add a short </w:t>
      </w:r>
      <w:r>
        <w:rPr>
          <w:rFonts w:ascii="Verdana" w:hAnsi="Verdana"/>
        </w:rPr>
        <w:t xml:space="preserve">individual</w:t>
      </w:r>
      <w:r>
        <w:rPr>
          <w:rFonts w:ascii="Verdana" w:hAnsi="Verdana"/>
        </w:rPr>
        <w:t xml:space="preserve"> reflection (100–150 words):</w:t>
      </w:r>
      <w:r>
        <w:rPr>
          <w:rFonts w:ascii="Verdana" w:hAnsi="Verdana"/>
          <w:lang w:val="en"/>
        </w:rPr>
        <w:t xml:space="preserve"> </w:t>
      </w:r>
      <w:r>
        <w:rPr>
          <w:rFonts w:ascii="Verdana" w:hAnsi="Verdana"/>
        </w:rPr>
      </w:r>
      <w:r>
        <w:rPr>
          <w:rFonts w:ascii="Verdana" w:hAnsi="Verdana"/>
          <w:highlight w:val="none"/>
        </w:rPr>
      </w:r>
    </w:p>
    <w:p w14:paraId="59693DBC">
      <w:pPr>
        <w:pBdr/>
        <w:tabs>
          <w:tab w:val="center" w:leader="none" w:pos="6979"/>
        </w:tabs>
        <w:spacing w:after="0" w:line="240" w:lineRule="auto"/>
        <w:ind/>
        <w:rPr>
          <w:rFonts w:ascii="Verdana" w:hAnsi="Verdana"/>
        </w:rPr>
      </w:pPr>
      <w:r>
        <w:rPr>
          <w:rFonts w:ascii="Verdana" w:hAnsi="Verdana"/>
          <w:highlight w:val="none"/>
          <w:lang w:val="en"/>
        </w:rPr>
        <w:t xml:space="preserve">I took roles primarilly as a analyzer and challenger</w:t>
      </w:r>
      <w:r>
        <w:rPr>
          <w:rFonts w:ascii="Verdana" w:hAnsi="Verdana"/>
          <w:highlight w:val="none"/>
          <w:lang w:val="en"/>
        </w:rPr>
        <w:t xml:space="preserve"> as I analyzed th</w:t>
      </w:r>
      <w:r>
        <w:rPr>
          <w:rFonts w:ascii="Verdana" w:hAnsi="Verdana"/>
          <w:highlight w:val="none"/>
          <w:lang w:val="en"/>
        </w:rPr>
        <w:t xml:space="preserve">e attacks in detail and explained to my group the behaviors of the attacker and his techniques i argued with the group and resolved the correct solutions. I understood that attackers dont go in blind, first they need to make a structered plan in order to p</w:t>
      </w:r>
      <w:r>
        <w:rPr>
          <w:rFonts w:ascii="Verdana" w:hAnsi="Verdana"/>
          <w:highlight w:val="none"/>
          <w:lang w:val="en"/>
        </w:rPr>
        <w:t xml:space="preserve">erfrom a attack successfully, I found that it was hard to map some attacks as most of them had similiar attributes. I would use more of gen ai to help me understand the attacks to help me map them out correctly as my group barely used chatgpt in this task</w:t>
      </w:r>
      <w:r>
        <w:rPr>
          <w:rFonts w:ascii="Verdana" w:hAnsi="Verdana"/>
          <w:highlight w:val="none"/>
        </w:rPr>
      </w:r>
      <w:r>
        <w:rPr>
          <w:rFonts w:ascii="Verdana" w:hAnsi="Verdana"/>
        </w:rPr>
      </w:r>
    </w:p>
    <w:p w14:paraId="72491E4B">
      <w:pPr>
        <w:pBdr/>
        <w:tabs>
          <w:tab w:val="center" w:leader="none" w:pos="6979"/>
        </w:tabs>
        <w:spacing w:after="0" w:line="240" w:lineRule="auto"/>
        <w:ind/>
        <w:rPr>
          <w:rFonts w:ascii="Verdana" w:hAnsi="Verdana"/>
          <w:highlight w:val="none"/>
        </w:rPr>
      </w:pPr>
      <w:r>
        <w:rPr>
          <w:rFonts w:ascii="Verdana" w:hAnsi="Verdana"/>
          <w:highlight w:val="none"/>
        </w:rPr>
      </w:r>
      <w:r>
        <w:rPr>
          <w:rFonts w:ascii="Verdana" w:hAnsi="Verdana"/>
          <w:highlight w:val="none"/>
        </w:rPr>
      </w:r>
      <w:r>
        <w:rPr>
          <w:rFonts w:ascii="Verdana" w:hAnsi="Verdana"/>
          <w:highlight w:val="none"/>
        </w:rPr>
      </w:r>
    </w:p>
    <w:p w14:paraId="41F4C725">
      <w:pPr>
        <w:pBdr/>
        <w:tabs>
          <w:tab w:val="center" w:leader="none" w:pos="6979"/>
        </w:tabs>
        <w:spacing w:after="0" w:line="240" w:lineRule="auto"/>
        <w:ind/>
        <w:rPr>
          <w:rFonts w:ascii="Verdana" w:hAnsi="Verdana"/>
          <w:highlight w:val="none"/>
        </w:rPr>
      </w:pPr>
      <w:r>
        <w:rPr>
          <w:rFonts w:ascii="Verdana" w:hAnsi="Verdana"/>
        </w:rPr>
        <w:tab/>
      </w:r>
      <w:r>
        <w:rPr>
          <w:rFonts w:ascii="Verdana" w:hAnsi="Verdana"/>
        </w:rPr>
      </w:r>
      <w:r>
        <w:rPr>
          <w:rFonts w:ascii="Verdana" w:hAnsi="Verdana"/>
          <w:highlight w:val="none"/>
        </w:rPr>
      </w:r>
    </w:p>
    <w:p w14:paraId="452079FC">
      <w:pPr>
        <w:pBdr/>
        <w:tabs>
          <w:tab w:val="center" w:leader="none" w:pos="6979"/>
        </w:tabs>
        <w:spacing w:after="0" w:line="240" w:lineRule="auto"/>
        <w:ind/>
        <w:rPr>
          <w:rFonts w:ascii="Verdana" w:hAnsi="Verdana"/>
        </w:rPr>
      </w:pPr>
      <w:r>
        <w:rPr>
          <w:rFonts w:ascii="Verdana" w:hAnsi="Verdana"/>
          <w:highlight w:val="none"/>
        </w:rPr>
      </w:r>
      <w:r>
        <w:rPr>
          <w:rFonts w:ascii="Verdana" w:hAnsi="Verdana"/>
          <w:highlight w:val="none"/>
        </w:rPr>
      </w:r>
      <w:r>
        <w:rPr>
          <w:rFonts w:ascii="Verdana" w:hAnsi="Verdana"/>
        </w:rPr>
      </w:r>
    </w:p>
    <w:p w14:paraId="61BA8B30" w14:textId="77777777">
      <w:pPr>
        <w:pStyle w:val="893"/>
        <w:numPr>
          <w:ilvl w:val="0"/>
          <w:numId w:val="4"/>
        </w:numPr>
        <w:pBdr/>
        <w:spacing w:after="0" w:line="240" w:lineRule="auto"/>
        <w:ind/>
        <w:rPr>
          <w:rFonts w:ascii="Verdana" w:hAnsi="Verdana"/>
        </w:rPr>
      </w:pPr>
      <w:r>
        <w:rPr>
          <w:rFonts w:ascii="Verdana" w:hAnsi="Verdana"/>
        </w:rPr>
        <w:t xml:space="preserve">What role did you primarily take in the group (e.g., analyser, mapper, challenger, scribe)?</w:t>
      </w:r>
      <w:r>
        <w:rPr>
          <w:rFonts w:ascii="Verdana" w:hAnsi="Verdana"/>
        </w:rPr>
      </w:r>
      <w:r>
        <w:rPr>
          <w:rFonts w:ascii="Verdana" w:hAnsi="Verdana"/>
        </w:rPr>
      </w:r>
    </w:p>
    <w:p w14:paraId="4C7AA0D4" w14:textId="77777777">
      <w:pPr>
        <w:pStyle w:val="893"/>
        <w:numPr>
          <w:ilvl w:val="0"/>
          <w:numId w:val="4"/>
        </w:numPr>
        <w:pBdr/>
        <w:spacing w:after="0" w:line="240" w:lineRule="auto"/>
        <w:ind/>
        <w:rPr>
          <w:rFonts w:ascii="Verdana" w:hAnsi="Verdana"/>
        </w:rPr>
      </w:pPr>
      <w:r>
        <w:rPr>
          <w:rFonts w:ascii="Verdana" w:hAnsi="Verdana"/>
        </w:rPr>
        <w:t xml:space="preserve">What is one thing about attacker behaviour or ATT&amp;CK mapping that you understand better now?</w:t>
      </w:r>
      <w:r>
        <w:rPr>
          <w:rFonts w:ascii="Verdana" w:hAnsi="Verdana"/>
        </w:rPr>
      </w:r>
      <w:r>
        <w:rPr>
          <w:rFonts w:ascii="Verdana" w:hAnsi="Verdana"/>
        </w:rPr>
      </w:r>
    </w:p>
    <w:p w14:paraId="1778D08A" w14:textId="77777777">
      <w:pPr>
        <w:pStyle w:val="893"/>
        <w:numPr>
          <w:ilvl w:val="0"/>
          <w:numId w:val="4"/>
        </w:numPr>
        <w:pBdr/>
        <w:spacing w:after="0" w:line="240" w:lineRule="auto"/>
        <w:ind/>
        <w:rPr>
          <w:rFonts w:ascii="Verdana" w:hAnsi="Verdana"/>
        </w:rPr>
      </w:pPr>
      <w:r>
        <w:rPr>
          <w:rFonts w:ascii="Verdana" w:hAnsi="Verdana"/>
        </w:rPr>
        <w:t xml:space="preserve">What did you personally find most difficult about this task?</w:t>
      </w:r>
      <w:r>
        <w:rPr>
          <w:rFonts w:ascii="Verdana" w:hAnsi="Verdana"/>
        </w:rPr>
      </w:r>
      <w:r>
        <w:rPr>
          <w:rFonts w:ascii="Verdana" w:hAnsi="Verdana"/>
        </w:rPr>
      </w:r>
    </w:p>
    <w:p w14:paraId="10E50AB6" w14:textId="77777777">
      <w:pPr>
        <w:pStyle w:val="893"/>
        <w:numPr>
          <w:ilvl w:val="0"/>
          <w:numId w:val="4"/>
        </w:numPr>
        <w:pBdr/>
        <w:spacing w:after="0" w:line="240" w:lineRule="auto"/>
        <w:ind/>
        <w:rPr>
          <w:rFonts w:ascii="Verdana" w:hAnsi="Verdana"/>
        </w:rPr>
      </w:pPr>
      <w:r>
        <w:rPr>
          <w:rFonts w:ascii="Verdana" w:hAnsi="Verdana"/>
        </w:rPr>
        <w:t xml:space="preserve">What would you do differently if you repeated this activity?</w:t>
      </w:r>
      <w:r>
        <w:rPr>
          <w:rFonts w:ascii="Verdana" w:hAnsi="Verdana"/>
        </w:rPr>
      </w:r>
      <w:r>
        <w:rPr>
          <w:rFonts w:ascii="Verdana" w:hAnsi="Verdana"/>
        </w:rPr>
      </w:r>
    </w:p>
    <w:p w14:paraId="4CB32AC8" w14:textId="77777777">
      <w:pPr>
        <w:pBdr/>
        <w:spacing/>
        <w:ind/>
        <w:rPr>
          <w:rFonts w:ascii="Verdana" w:hAnsi="Verdana"/>
        </w:rPr>
      </w:pPr>
      <w:r>
        <w:rPr>
          <w:rFonts w:ascii="Verdana" w:hAnsi="Verdana"/>
        </w:rPr>
      </w:r>
      <w:r>
        <w:rPr>
          <w:rFonts w:ascii="Verdana" w:hAnsi="Verdana"/>
        </w:rPr>
      </w:r>
      <w:r>
        <w:rPr>
          <w:rFonts w:ascii="Verdana" w:hAnsi="Verdana"/>
        </w:rPr>
      </w:r>
    </w:p>
    <w:sectPr>
      <w:footnotePr/>
      <w:endnotePr/>
      <w:type w:val="nextPage"/>
      <w:pgSz w:h="11906" w:orient="landscape" w:w="16838"/>
      <w:pgMar w:top="567" w:right="1440" w:bottom="1134"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Liberation Sans">
    <w:panose1 w:val="020B060402020202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9A56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7CF19F9"/>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5DB12103"/>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7F924F6B"/>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E"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Light"/>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8">
    <w:name w:val="List Table 7 Colorful - Accent 2"/>
    <w:basedOn w:val="8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9">
    <w:name w:val="List Table 7 Colorful - Accent 3"/>
    <w:basedOn w:val="8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0">
    <w:name w:val="List Table 7 Colorful - Accent 4"/>
    <w:basedOn w:val="8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1">
    <w:name w:val="List Table 7 Colorful - Accent 5"/>
    <w:basedOn w:val="8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2">
    <w:name w:val="List Table 7 Colorful - Accent 6"/>
    <w:basedOn w:val="8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3">
    <w:name w:val="Lined - Accent"/>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No Spacing"/>
    <w:basedOn w:val="865"/>
    <w:uiPriority w:val="1"/>
    <w:qFormat/>
    <w:pPr>
      <w:pBdr/>
      <w:spacing w:after="0" w:line="240" w:lineRule="auto"/>
      <w:ind/>
    </w:pPr>
  </w:style>
  <w:style w:type="character" w:styleId="835">
    <w:name w:val="Subtle Emphasis"/>
    <w:basedOn w:val="875"/>
    <w:uiPriority w:val="19"/>
    <w:qFormat/>
    <w:pPr>
      <w:pBdr/>
      <w:spacing/>
      <w:ind/>
    </w:pPr>
    <w:rPr>
      <w:i/>
      <w:iCs/>
      <w:color w:val="404040" w:themeColor="text1" w:themeTint="BF"/>
    </w:rPr>
  </w:style>
  <w:style w:type="character" w:styleId="836">
    <w:name w:val="Emphasis"/>
    <w:basedOn w:val="875"/>
    <w:uiPriority w:val="20"/>
    <w:qFormat/>
    <w:pPr>
      <w:pBdr/>
      <w:spacing/>
      <w:ind/>
    </w:pPr>
    <w:rPr>
      <w:i/>
      <w:iCs/>
    </w:rPr>
  </w:style>
  <w:style w:type="character" w:styleId="837">
    <w:name w:val="Strong"/>
    <w:basedOn w:val="875"/>
    <w:uiPriority w:val="22"/>
    <w:qFormat/>
    <w:pPr>
      <w:pBdr/>
      <w:spacing/>
      <w:ind/>
    </w:pPr>
    <w:rPr>
      <w:b/>
      <w:bCs/>
    </w:rPr>
  </w:style>
  <w:style w:type="character" w:styleId="838">
    <w:name w:val="Subtle Reference"/>
    <w:basedOn w:val="875"/>
    <w:uiPriority w:val="31"/>
    <w:qFormat/>
    <w:pPr>
      <w:pBdr/>
      <w:spacing/>
      <w:ind/>
    </w:pPr>
    <w:rPr>
      <w:smallCaps/>
      <w:color w:val="5a5a5a" w:themeColor="text1" w:themeTint="A5"/>
    </w:rPr>
  </w:style>
  <w:style w:type="character" w:styleId="839">
    <w:name w:val="Book Title"/>
    <w:basedOn w:val="875"/>
    <w:uiPriority w:val="33"/>
    <w:qFormat/>
    <w:pPr>
      <w:pBdr/>
      <w:spacing/>
      <w:ind/>
    </w:pPr>
    <w:rPr>
      <w:b/>
      <w:bCs/>
      <w:i/>
      <w:iCs/>
      <w:spacing w:val="5"/>
    </w:rPr>
  </w:style>
  <w:style w:type="paragraph" w:styleId="840">
    <w:name w:val="Header"/>
    <w:basedOn w:val="865"/>
    <w:link w:val="841"/>
    <w:uiPriority w:val="99"/>
    <w:unhideWhenUsed/>
    <w:pPr>
      <w:pBdr/>
      <w:tabs>
        <w:tab w:val="center" w:leader="none" w:pos="4844"/>
        <w:tab w:val="right" w:leader="none" w:pos="9689"/>
      </w:tabs>
      <w:spacing w:after="0" w:line="240" w:lineRule="auto"/>
      <w:ind/>
    </w:pPr>
  </w:style>
  <w:style w:type="character" w:styleId="841">
    <w:name w:val="Header Char"/>
    <w:basedOn w:val="875"/>
    <w:link w:val="840"/>
    <w:uiPriority w:val="99"/>
    <w:pPr>
      <w:pBdr/>
      <w:spacing/>
      <w:ind/>
    </w:pPr>
  </w:style>
  <w:style w:type="paragraph" w:styleId="842">
    <w:name w:val="Footer"/>
    <w:basedOn w:val="865"/>
    <w:link w:val="843"/>
    <w:uiPriority w:val="99"/>
    <w:unhideWhenUsed/>
    <w:pPr>
      <w:pBdr/>
      <w:tabs>
        <w:tab w:val="center" w:leader="none" w:pos="4844"/>
        <w:tab w:val="right" w:leader="none" w:pos="9689"/>
      </w:tabs>
      <w:spacing w:after="0" w:line="240" w:lineRule="auto"/>
      <w:ind/>
    </w:pPr>
  </w:style>
  <w:style w:type="character" w:styleId="843">
    <w:name w:val="Footer Char"/>
    <w:basedOn w:val="875"/>
    <w:link w:val="842"/>
    <w:uiPriority w:val="99"/>
    <w:pPr>
      <w:pBdr/>
      <w:spacing/>
      <w:ind/>
    </w:pPr>
  </w:style>
  <w:style w:type="paragraph" w:styleId="844">
    <w:name w:val="Caption"/>
    <w:basedOn w:val="865"/>
    <w:next w:val="865"/>
    <w:uiPriority w:val="35"/>
    <w:unhideWhenUsed/>
    <w:qFormat/>
    <w:pPr>
      <w:pBdr/>
      <w:spacing w:after="200" w:line="240" w:lineRule="auto"/>
      <w:ind/>
    </w:pPr>
    <w:rPr>
      <w:i/>
      <w:iCs/>
      <w:color w:val="0e2841" w:themeColor="text2"/>
      <w:sz w:val="18"/>
      <w:szCs w:val="18"/>
    </w:rPr>
  </w:style>
  <w:style w:type="paragraph" w:styleId="845">
    <w:name w:val="footnote text"/>
    <w:basedOn w:val="865"/>
    <w:link w:val="846"/>
    <w:uiPriority w:val="99"/>
    <w:semiHidden/>
    <w:unhideWhenUsed/>
    <w:pPr>
      <w:pBdr/>
      <w:spacing w:after="0" w:line="240" w:lineRule="auto"/>
      <w:ind/>
    </w:pPr>
    <w:rPr>
      <w:sz w:val="20"/>
      <w:szCs w:val="20"/>
    </w:rPr>
  </w:style>
  <w:style w:type="character" w:styleId="846">
    <w:name w:val="Footnote Text Char"/>
    <w:basedOn w:val="875"/>
    <w:link w:val="845"/>
    <w:uiPriority w:val="99"/>
    <w:semiHidden/>
    <w:pPr>
      <w:pBdr/>
      <w:spacing/>
      <w:ind/>
    </w:pPr>
    <w:rPr>
      <w:sz w:val="20"/>
      <w:szCs w:val="20"/>
    </w:rPr>
  </w:style>
  <w:style w:type="character" w:styleId="847">
    <w:name w:val="footnote reference"/>
    <w:basedOn w:val="875"/>
    <w:uiPriority w:val="99"/>
    <w:semiHidden/>
    <w:unhideWhenUsed/>
    <w:pPr>
      <w:pBdr/>
      <w:spacing/>
      <w:ind/>
    </w:pPr>
    <w:rPr>
      <w:vertAlign w:val="superscript"/>
    </w:rPr>
  </w:style>
  <w:style w:type="paragraph" w:styleId="848">
    <w:name w:val="endnote text"/>
    <w:basedOn w:val="865"/>
    <w:link w:val="849"/>
    <w:uiPriority w:val="99"/>
    <w:semiHidden/>
    <w:unhideWhenUsed/>
    <w:pPr>
      <w:pBdr/>
      <w:spacing w:after="0" w:line="240" w:lineRule="auto"/>
      <w:ind/>
    </w:pPr>
    <w:rPr>
      <w:sz w:val="20"/>
      <w:szCs w:val="20"/>
    </w:rPr>
  </w:style>
  <w:style w:type="character" w:styleId="849">
    <w:name w:val="Endnote Text Char"/>
    <w:basedOn w:val="875"/>
    <w:link w:val="848"/>
    <w:uiPriority w:val="99"/>
    <w:semiHidden/>
    <w:pPr>
      <w:pBdr/>
      <w:spacing/>
      <w:ind/>
    </w:pPr>
    <w:rPr>
      <w:sz w:val="20"/>
      <w:szCs w:val="20"/>
    </w:rPr>
  </w:style>
  <w:style w:type="character" w:styleId="850">
    <w:name w:val="endnote reference"/>
    <w:basedOn w:val="875"/>
    <w:uiPriority w:val="99"/>
    <w:semiHidden/>
    <w:unhideWhenUsed/>
    <w:pPr>
      <w:pBdr/>
      <w:spacing/>
      <w:ind/>
    </w:pPr>
    <w:rPr>
      <w:vertAlign w:val="superscript"/>
    </w:rPr>
  </w:style>
  <w:style w:type="character" w:styleId="851">
    <w:name w:val="Hyperlink"/>
    <w:basedOn w:val="875"/>
    <w:uiPriority w:val="99"/>
    <w:unhideWhenUsed/>
    <w:pPr>
      <w:pBdr/>
      <w:spacing/>
      <w:ind/>
    </w:pPr>
    <w:rPr>
      <w:color w:val="0563c1" w:themeColor="hyperlink"/>
      <w:u w:val="single"/>
    </w:rPr>
  </w:style>
  <w:style w:type="character" w:styleId="852">
    <w:name w:val="FollowedHyperlink"/>
    <w:basedOn w:val="875"/>
    <w:uiPriority w:val="99"/>
    <w:semiHidden/>
    <w:unhideWhenUsed/>
    <w:pPr>
      <w:pBdr/>
      <w:spacing/>
      <w:ind/>
    </w:pPr>
    <w:rPr>
      <w:color w:val="954f72" w:themeColor="followedHyperlink"/>
      <w:u w:val="single"/>
    </w:rPr>
  </w:style>
  <w:style w:type="paragraph" w:styleId="853">
    <w:name w:val="toc 1"/>
    <w:basedOn w:val="865"/>
    <w:next w:val="865"/>
    <w:uiPriority w:val="39"/>
    <w:unhideWhenUsed/>
    <w:pPr>
      <w:pBdr/>
      <w:spacing w:after="100"/>
      <w:ind/>
    </w:pPr>
  </w:style>
  <w:style w:type="paragraph" w:styleId="854">
    <w:name w:val="toc 2"/>
    <w:basedOn w:val="865"/>
    <w:next w:val="865"/>
    <w:uiPriority w:val="39"/>
    <w:unhideWhenUsed/>
    <w:pPr>
      <w:pBdr/>
      <w:spacing w:after="100"/>
      <w:ind w:left="220"/>
    </w:pPr>
  </w:style>
  <w:style w:type="paragraph" w:styleId="855">
    <w:name w:val="toc 3"/>
    <w:basedOn w:val="865"/>
    <w:next w:val="865"/>
    <w:uiPriority w:val="39"/>
    <w:unhideWhenUsed/>
    <w:pPr>
      <w:pBdr/>
      <w:spacing w:after="100"/>
      <w:ind w:left="440"/>
    </w:pPr>
  </w:style>
  <w:style w:type="paragraph" w:styleId="856">
    <w:name w:val="toc 4"/>
    <w:basedOn w:val="865"/>
    <w:next w:val="865"/>
    <w:uiPriority w:val="39"/>
    <w:unhideWhenUsed/>
    <w:pPr>
      <w:pBdr/>
      <w:spacing w:after="100"/>
      <w:ind w:left="660"/>
    </w:pPr>
  </w:style>
  <w:style w:type="paragraph" w:styleId="857">
    <w:name w:val="toc 5"/>
    <w:basedOn w:val="865"/>
    <w:next w:val="865"/>
    <w:uiPriority w:val="39"/>
    <w:unhideWhenUsed/>
    <w:pPr>
      <w:pBdr/>
      <w:spacing w:after="100"/>
      <w:ind w:left="880"/>
    </w:pPr>
  </w:style>
  <w:style w:type="paragraph" w:styleId="858">
    <w:name w:val="toc 6"/>
    <w:basedOn w:val="865"/>
    <w:next w:val="865"/>
    <w:uiPriority w:val="39"/>
    <w:unhideWhenUsed/>
    <w:pPr>
      <w:pBdr/>
      <w:spacing w:after="100"/>
      <w:ind w:left="1100"/>
    </w:pPr>
  </w:style>
  <w:style w:type="paragraph" w:styleId="859">
    <w:name w:val="toc 7"/>
    <w:basedOn w:val="865"/>
    <w:next w:val="865"/>
    <w:uiPriority w:val="39"/>
    <w:unhideWhenUsed/>
    <w:pPr>
      <w:pBdr/>
      <w:spacing w:after="100"/>
      <w:ind w:left="1320"/>
    </w:pPr>
  </w:style>
  <w:style w:type="paragraph" w:styleId="860">
    <w:name w:val="toc 8"/>
    <w:basedOn w:val="865"/>
    <w:next w:val="865"/>
    <w:uiPriority w:val="39"/>
    <w:unhideWhenUsed/>
    <w:pPr>
      <w:pBdr/>
      <w:spacing w:after="100"/>
      <w:ind w:left="1540"/>
    </w:pPr>
  </w:style>
  <w:style w:type="paragraph" w:styleId="861">
    <w:name w:val="toc 9"/>
    <w:basedOn w:val="865"/>
    <w:next w:val="865"/>
    <w:uiPriority w:val="39"/>
    <w:unhideWhenUsed/>
    <w:pPr>
      <w:pBdr/>
      <w:spacing w:after="100"/>
      <w:ind w:left="1760"/>
    </w:pPr>
  </w:style>
  <w:style w:type="character" w:styleId="862">
    <w:name w:val="Placeholder Text"/>
    <w:basedOn w:val="875"/>
    <w:uiPriority w:val="99"/>
    <w:semiHidden/>
    <w:pPr>
      <w:pBdr/>
      <w:spacing/>
      <w:ind/>
    </w:pPr>
    <w:rPr>
      <w:color w:val="666666"/>
    </w:rPr>
  </w:style>
  <w:style w:type="paragraph" w:styleId="863">
    <w:name w:val="TOC Heading"/>
    <w:uiPriority w:val="39"/>
    <w:unhideWhenUsed/>
    <w:pPr>
      <w:pBdr/>
      <w:spacing/>
      <w:ind/>
    </w:pPr>
  </w:style>
  <w:style w:type="paragraph" w:styleId="864">
    <w:name w:val="table of figures"/>
    <w:basedOn w:val="865"/>
    <w:next w:val="865"/>
    <w:uiPriority w:val="99"/>
    <w:unhideWhenUsed/>
    <w:pPr>
      <w:pBdr/>
      <w:spacing w:after="0" w:afterAutospacing="0"/>
      <w:ind/>
    </w:pPr>
  </w:style>
  <w:style w:type="paragraph" w:styleId="865" w:default="1">
    <w:name w:val="Normal"/>
    <w:qFormat/>
    <w:pPr>
      <w:pBdr/>
      <w:spacing/>
      <w:ind/>
    </w:pPr>
  </w:style>
  <w:style w:type="paragraph" w:styleId="866">
    <w:name w:val="Heading 1"/>
    <w:basedOn w:val="865"/>
    <w:next w:val="865"/>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7">
    <w:name w:val="Heading 2"/>
    <w:basedOn w:val="865"/>
    <w:next w:val="865"/>
    <w:link w:val="87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8">
    <w:name w:val="Heading 3"/>
    <w:basedOn w:val="865"/>
    <w:next w:val="865"/>
    <w:link w:val="88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9">
    <w:name w:val="Heading 4"/>
    <w:basedOn w:val="865"/>
    <w:next w:val="865"/>
    <w:link w:val="88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0">
    <w:name w:val="Heading 5"/>
    <w:basedOn w:val="865"/>
    <w:next w:val="865"/>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1">
    <w:name w:val="Heading 6"/>
    <w:basedOn w:val="865"/>
    <w:next w:val="865"/>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2">
    <w:name w:val="Heading 7"/>
    <w:basedOn w:val="865"/>
    <w:next w:val="865"/>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3">
    <w:name w:val="Heading 8"/>
    <w:basedOn w:val="865"/>
    <w:next w:val="865"/>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4">
    <w:name w:val="Heading 9"/>
    <w:basedOn w:val="865"/>
    <w:next w:val="865"/>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5" w:default="1">
    <w:name w:val="Default Paragraph Font"/>
    <w:uiPriority w:val="1"/>
    <w:semiHidden/>
    <w:unhideWhenUsed/>
    <w:pPr>
      <w:pBdr/>
      <w:spacing/>
      <w:ind/>
    </w:pPr>
  </w:style>
  <w:style w:type="table" w:styleId="8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7" w:default="1">
    <w:name w:val="No List"/>
    <w:uiPriority w:val="99"/>
    <w:semiHidden/>
    <w:unhideWhenUsed/>
    <w:pPr>
      <w:pBdr/>
      <w:spacing/>
      <w:ind/>
    </w:pPr>
  </w:style>
  <w:style w:type="character" w:styleId="878" w:customStyle="1">
    <w:name w:val="Heading 1 Char"/>
    <w:basedOn w:val="875"/>
    <w:link w:val="866"/>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75"/>
    <w:link w:val="86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75"/>
    <w:link w:val="868"/>
    <w:uiPriority w:val="9"/>
    <w:semiHidden/>
    <w:pPr>
      <w:pBdr/>
      <w:spacing/>
      <w:ind/>
    </w:pPr>
    <w:rPr>
      <w:rFonts w:eastAsiaTheme="majorEastAsia" w:cstheme="majorBidi"/>
      <w:color w:val="0f4761" w:themeColor="accent1" w:themeShade="BF"/>
      <w:sz w:val="28"/>
      <w:szCs w:val="28"/>
    </w:rPr>
  </w:style>
  <w:style w:type="character" w:styleId="881" w:customStyle="1">
    <w:name w:val="Heading 4 Char"/>
    <w:basedOn w:val="875"/>
    <w:link w:val="869"/>
    <w:uiPriority w:val="9"/>
    <w:semiHidden/>
    <w:pPr>
      <w:pBdr/>
      <w:spacing/>
      <w:ind/>
    </w:pPr>
    <w:rPr>
      <w:rFonts w:eastAsiaTheme="majorEastAsia" w:cstheme="majorBidi"/>
      <w:i/>
      <w:iCs/>
      <w:color w:val="0f4761" w:themeColor="accent1" w:themeShade="BF"/>
    </w:rPr>
  </w:style>
  <w:style w:type="character" w:styleId="882" w:customStyle="1">
    <w:name w:val="Heading 5 Char"/>
    <w:basedOn w:val="875"/>
    <w:link w:val="870"/>
    <w:uiPriority w:val="9"/>
    <w:semiHidden/>
    <w:pPr>
      <w:pBdr/>
      <w:spacing/>
      <w:ind/>
    </w:pPr>
    <w:rPr>
      <w:rFonts w:eastAsiaTheme="majorEastAsia" w:cstheme="majorBidi"/>
      <w:color w:val="0f4761" w:themeColor="accent1" w:themeShade="BF"/>
    </w:rPr>
  </w:style>
  <w:style w:type="character" w:styleId="883" w:customStyle="1">
    <w:name w:val="Heading 6 Char"/>
    <w:basedOn w:val="875"/>
    <w:link w:val="871"/>
    <w:uiPriority w:val="9"/>
    <w:semiHidden/>
    <w:pPr>
      <w:pBdr/>
      <w:spacing/>
      <w:ind/>
    </w:pPr>
    <w:rPr>
      <w:rFonts w:eastAsiaTheme="majorEastAsia" w:cstheme="majorBidi"/>
      <w:i/>
      <w:iCs/>
      <w:color w:val="595959" w:themeColor="text1" w:themeTint="A6"/>
    </w:rPr>
  </w:style>
  <w:style w:type="character" w:styleId="884" w:customStyle="1">
    <w:name w:val="Heading 7 Char"/>
    <w:basedOn w:val="875"/>
    <w:link w:val="872"/>
    <w:uiPriority w:val="9"/>
    <w:semiHidden/>
    <w:pPr>
      <w:pBdr/>
      <w:spacing/>
      <w:ind/>
    </w:pPr>
    <w:rPr>
      <w:rFonts w:eastAsiaTheme="majorEastAsia" w:cstheme="majorBidi"/>
      <w:color w:val="595959" w:themeColor="text1" w:themeTint="A6"/>
    </w:rPr>
  </w:style>
  <w:style w:type="character" w:styleId="885" w:customStyle="1">
    <w:name w:val="Heading 8 Char"/>
    <w:basedOn w:val="875"/>
    <w:link w:val="873"/>
    <w:uiPriority w:val="9"/>
    <w:semiHidden/>
    <w:pPr>
      <w:pBdr/>
      <w:spacing/>
      <w:ind/>
    </w:pPr>
    <w:rPr>
      <w:rFonts w:eastAsiaTheme="majorEastAsia" w:cstheme="majorBidi"/>
      <w:i/>
      <w:iCs/>
      <w:color w:val="272727" w:themeColor="text1" w:themeTint="D8"/>
    </w:rPr>
  </w:style>
  <w:style w:type="character" w:styleId="886" w:customStyle="1">
    <w:name w:val="Heading 9 Char"/>
    <w:basedOn w:val="875"/>
    <w:link w:val="874"/>
    <w:uiPriority w:val="9"/>
    <w:semiHidden/>
    <w:pPr>
      <w:pBdr/>
      <w:spacing/>
      <w:ind/>
    </w:pPr>
    <w:rPr>
      <w:rFonts w:eastAsiaTheme="majorEastAsia" w:cstheme="majorBidi"/>
      <w:color w:val="272727" w:themeColor="text1" w:themeTint="D8"/>
    </w:rPr>
  </w:style>
  <w:style w:type="paragraph" w:styleId="887">
    <w:name w:val="Title"/>
    <w:basedOn w:val="865"/>
    <w:next w:val="865"/>
    <w:link w:val="88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8" w:customStyle="1">
    <w:name w:val="Title Char"/>
    <w:basedOn w:val="875"/>
    <w:link w:val="887"/>
    <w:uiPriority w:val="10"/>
    <w:pPr>
      <w:pBdr/>
      <w:spacing/>
      <w:ind/>
    </w:pPr>
    <w:rPr>
      <w:rFonts w:asciiTheme="majorHAnsi" w:hAnsiTheme="majorHAnsi" w:eastAsiaTheme="majorEastAsia" w:cstheme="majorBidi"/>
      <w:spacing w:val="-10"/>
      <w:sz w:val="56"/>
      <w:szCs w:val="56"/>
    </w:rPr>
  </w:style>
  <w:style w:type="paragraph" w:styleId="889">
    <w:name w:val="Subtitle"/>
    <w:basedOn w:val="865"/>
    <w:next w:val="865"/>
    <w:link w:val="890"/>
    <w:uiPriority w:val="11"/>
    <w:qFormat/>
    <w:pPr>
      <w:numPr>
        <w:ilvl w:val="1"/>
      </w:numPr>
      <w:pBdr/>
      <w:spacing/>
      <w:ind/>
    </w:pPr>
    <w:rPr>
      <w:rFonts w:eastAsiaTheme="majorEastAsia" w:cstheme="majorBidi"/>
      <w:color w:val="595959" w:themeColor="text1" w:themeTint="A6"/>
      <w:spacing w:val="15"/>
      <w:sz w:val="28"/>
      <w:szCs w:val="28"/>
    </w:rPr>
  </w:style>
  <w:style w:type="character" w:styleId="890" w:customStyle="1">
    <w:name w:val="Subtitle Char"/>
    <w:basedOn w:val="875"/>
    <w:link w:val="889"/>
    <w:uiPriority w:val="11"/>
    <w:pPr>
      <w:pBdr/>
      <w:spacing/>
      <w:ind/>
    </w:pPr>
    <w:rPr>
      <w:rFonts w:eastAsiaTheme="majorEastAsia" w:cstheme="majorBidi"/>
      <w:color w:val="595959" w:themeColor="text1" w:themeTint="A6"/>
      <w:spacing w:val="15"/>
      <w:sz w:val="28"/>
      <w:szCs w:val="28"/>
    </w:rPr>
  </w:style>
  <w:style w:type="paragraph" w:styleId="891">
    <w:name w:val="Quote"/>
    <w:basedOn w:val="865"/>
    <w:next w:val="865"/>
    <w:link w:val="892"/>
    <w:uiPriority w:val="29"/>
    <w:qFormat/>
    <w:pPr>
      <w:pBdr/>
      <w:spacing w:before="160"/>
      <w:ind/>
      <w:jc w:val="center"/>
    </w:pPr>
    <w:rPr>
      <w:i/>
      <w:iCs/>
      <w:color w:val="404040" w:themeColor="text1" w:themeTint="BF"/>
    </w:rPr>
  </w:style>
  <w:style w:type="character" w:styleId="892" w:customStyle="1">
    <w:name w:val="Quote Char"/>
    <w:basedOn w:val="875"/>
    <w:link w:val="891"/>
    <w:uiPriority w:val="29"/>
    <w:pPr>
      <w:pBdr/>
      <w:spacing/>
      <w:ind/>
    </w:pPr>
    <w:rPr>
      <w:i/>
      <w:iCs/>
      <w:color w:val="404040" w:themeColor="text1" w:themeTint="BF"/>
    </w:rPr>
  </w:style>
  <w:style w:type="paragraph" w:styleId="893">
    <w:name w:val="List Paragraph"/>
    <w:basedOn w:val="865"/>
    <w:uiPriority w:val="34"/>
    <w:qFormat/>
    <w:pPr>
      <w:pBdr/>
      <w:spacing/>
      <w:ind w:left="720"/>
      <w:contextualSpacing w:val="true"/>
    </w:pPr>
  </w:style>
  <w:style w:type="character" w:styleId="894">
    <w:name w:val="Intense Emphasis"/>
    <w:basedOn w:val="875"/>
    <w:uiPriority w:val="21"/>
    <w:qFormat/>
    <w:pPr>
      <w:pBdr/>
      <w:spacing/>
      <w:ind/>
    </w:pPr>
    <w:rPr>
      <w:i/>
      <w:iCs/>
      <w:color w:val="0f4761" w:themeColor="accent1" w:themeShade="BF"/>
    </w:rPr>
  </w:style>
  <w:style w:type="paragraph" w:styleId="895">
    <w:name w:val="Intense Quote"/>
    <w:basedOn w:val="865"/>
    <w:next w:val="865"/>
    <w:link w:val="8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6" w:customStyle="1">
    <w:name w:val="Intense Quote Char"/>
    <w:basedOn w:val="875"/>
    <w:link w:val="895"/>
    <w:uiPriority w:val="30"/>
    <w:pPr>
      <w:pBdr/>
      <w:spacing/>
      <w:ind/>
    </w:pPr>
    <w:rPr>
      <w:i/>
      <w:iCs/>
      <w:color w:val="0f4761" w:themeColor="accent1" w:themeShade="BF"/>
    </w:rPr>
  </w:style>
  <w:style w:type="character" w:styleId="897">
    <w:name w:val="Intense Reference"/>
    <w:basedOn w:val="875"/>
    <w:uiPriority w:val="32"/>
    <w:qFormat/>
    <w:pPr>
      <w:pBdr/>
      <w:spacing/>
      <w:ind/>
    </w:pPr>
    <w:rPr>
      <w:b/>
      <w:bCs/>
      <w:smallCaps/>
      <w:color w:val="0f4761" w:themeColor="accent1" w:themeShade="BF"/>
      <w:spacing w:val="5"/>
    </w:rPr>
  </w:style>
  <w:style w:type="table" w:styleId="898">
    <w:name w:val="Table Grid"/>
    <w:basedOn w:val="87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Ayala Rivera</dc:creator>
  <cp:keywords/>
  <dc:description/>
  <cp:revision>27</cp:revision>
  <dcterms:created xsi:type="dcterms:W3CDTF">2026-02-06T12:00:00Z</dcterms:created>
  <dcterms:modified xsi:type="dcterms:W3CDTF">2026-02-21T20:48:30Z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d0809c69-103f-487d-bdd8-1737683b2779</vt:lpwstr>
  </property>
</Properties>
</file>