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0F3460"/>
          <w:sz w:val="48"/>
          <w:szCs w:val="48"/>
        </w:rPr>
        <w:t xml:space="preserve">AVIANCE MAILDISTRO</w:t>
      </w:r>
    </w:p>
    <w:p>
      <w:pPr>
        <w:spacing w:after="40"/>
        <w:jc w:val="left"/>
      </w:pPr>
      <w:r>
        <w:rPr>
          <w:rFonts w:ascii="Calibri" w:cs="Calibri" w:eastAsia="Calibri" w:hAnsi="Calibri"/>
          <w:color w:val="E94560"/>
          <w:sz w:val="32"/>
          <w:szCs w:val="32"/>
        </w:rPr>
        <w:t xml:space="preserve">Email Personalization System Overview</w:t>
      </w:r>
    </w:p>
    <w:p>
      <w:pPr>
        <w:pBdr>
          <w:bottom w:val="single" w:color="0F3460" w:sz="8" w:space="8"/>
        </w:pBdr>
        <w:spacing w:after="36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Internal Technical Documentation  •  2026</w:t>
      </w:r>
    </w:p>
    <w:p>
      <w:pPr>
        <w:pStyle w:val="Heading1"/>
        <w:pBdr>
          <w:bottom w:val="single" w:color="E94560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1. System Overview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MailDistro email personalization engine is the core of Aviance’s automated outreach system. It generates industry-specific, personalized cold emails for Sri Lankan businesses, branded with Aviance’s identity.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runs autonomously — once leads are uploaded and Gmail accounts configured, emails are sent automatically via n8n scheduling with zero manual intervention.</w:t>
      </w:r>
    </w:p>
    <w:p>
      <w:pPr>
        <w:spacing w:after="80"/>
      </w:pPr>
    </w:p>
    <w:p>
      <w:pPr>
        <w:pStyle w:val="Heading1"/>
        <w:pBdr>
          <w:bottom w:val="single" w:color="E94560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2. How Personalization Works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a lead enters the system (via CSV upload or manual entry), the engine matches the lead’s industry to one of 20 pre-built industry templates. Each template contains: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Pain point — A specific problem the industry faces (e.g., for retail: “still handling customer questions one by one and tracking stock in spreadsheets”)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Solution — What Aviance does to fix it (e.g., “AI systems that auto-respond to common customer queries, send restock alerts, and track orders”)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Result — A concrete outcome with metrics (e.g., “One retail client cut their support workload by 60% in the first month”)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Subject line — Industry-appropriate email subject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6213E"/>
          <w:sz w:val="28"/>
          <w:szCs w:val="28"/>
        </w:rPr>
        <w:t xml:space="preserve">Supported Industries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includes templates for the following 20 industries: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Logistics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Transport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Banking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Insurance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Hospital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Clinic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Hotel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Restaurant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Legal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Education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Automotive</w:t>
            </w:r>
          </w:p>
        </w:tc>
      </w:tr>
    </w:tbl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a lead’s industry doesn’t match any template, a sensible default template is used that focuses on general time savings.</w:t>
      </w:r>
    </w:p>
    <w:p>
      <w:pPr>
        <w:spacing w:after="80"/>
      </w:pPr>
    </w:p>
    <w:p>
      <w:pPr>
        <w:pStyle w:val="Heading1"/>
        <w:pBdr>
          <w:bottom w:val="single" w:color="E94560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3. Three-Email Sequence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lead goes through a structured 3-email sequence designed to maximize response rates while maintaining professionalism: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Day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Initial Outreach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Introduces Aviance, identifies industry pain point, offers solution with results, invites a 15-minute call. Includes link to aviance.online and full Aviance signature.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Follow-up #1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Shorter follow-up referencing the first email. Offers to send a 1-page breakdown customized for their company. Low-pressure tone.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Final Follow-up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Respectful closing email. Leaves the door open for future contact. Includes phone number and website for easy access.</w:t>
            </w:r>
          </w:p>
        </w:tc>
      </w:tr>
    </w:tbl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emails end with an unsubscribe option (“reply ‘unsubscribe’”) to maintain compliance and respect.</w:t>
      </w:r>
    </w:p>
    <w:p>
      <w:pPr>
        <w:spacing w:after="80"/>
      </w:pPr>
    </w:p>
    <w:p>
      <w:pPr>
        <w:pStyle w:val="Heading1"/>
        <w:pBdr>
          <w:bottom w:val="single" w:color="E94560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4. Aviance Branding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email is signed with consistent Aviance branding:</w:t>
      </w:r>
    </w:p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Name: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Limethsith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Title: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Head of AI — Aviance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Phone: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071 870 2702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Website: </w:t>
      </w:r>
      <w:hyperlink w:history="1" r:id="rId3tinxceetcc3laalke6l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https://www.aviance.online</w:t>
        </w:r>
      </w:hyperlink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Email Footer: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aviancelk@gmail.com</w:t>
      </w:r>
    </w:p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HTML version sent via Gmail includes an Aviance-branded signature table with proper formatting, ensuring consistent presentation across email clients.</w:t>
      </w:r>
    </w:p>
    <w:p>
      <w:pPr>
        <w:spacing w:after="80"/>
      </w:pPr>
    </w:p>
    <w:p>
      <w:pPr>
        <w:pStyle w:val="Heading1"/>
        <w:pBdr>
          <w:bottom w:val="single" w:color="E94560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5. AI Enhancement (Optional)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a Gemini API key is configured (GEMINI_API_KEY environment variable), the system can optionally enhance each email using Google’s Gemini 2.0 Flash model.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AI makes 2–3 small tweaks to feel more personal and specific to the company’s industry and location, without changing the signature, contact details, or call-to-action.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feature is free-tier compatible, supporting up to 1,500 requests per day.</w:t>
      </w:r>
    </w:p>
    <w:p>
      <w:pPr>
        <w:spacing w:after="80"/>
      </w:pPr>
    </w:p>
    <w:p>
      <w:pPr>
        <w:pStyle w:val="Heading1"/>
        <w:pBdr>
          <w:bottom w:val="single" w:color="E94560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6. Sending 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Gmail accounts are configured as environment variables (GMAIL_ACCOUNT_1 through GMAIL_ACCOUNT_10)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Emails are distributed round-robin across all configured accounts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account is limited to 30 emails per day to stay under Gmail’s sending limits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Random delays (5–15 seconds) between sends to appear natural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scales automatically — add more accounts, send more emails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n8n cloud handles scheduling — triggering the auto-send endpoint at configured intervals</w:t>
      </w:r>
    </w:p>
    <w:p>
      <w:pPr>
        <w:spacing w:after="80"/>
      </w:pPr>
    </w:p>
    <w:p>
      <w:pPr>
        <w:pStyle w:val="Heading1"/>
        <w:pBdr>
          <w:bottom w:val="single" w:color="E94560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7. Reply Tracking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checks for replies using IMAP: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Connects to each Gmail account’s inbox via IMAP (imap.gmail.com:993)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Looks for reply emails (subject starting with “Re:” or having In-Reply-To headers)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Matches replies to leads in the database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Updates lead status from “sent” to “replied”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replies are visible in the dashboard’s Replies tab</w:t>
      </w:r>
    </w:p>
    <w:p>
      <w:pPr>
        <w:spacing w:after="80"/>
      </w:pPr>
    </w:p>
    <w:p>
      <w:pPr>
        <w:pStyle w:val="Heading1"/>
        <w:pBdr>
          <w:bottom w:val="single" w:color="E94560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3460"/>
          <w:sz w:val="36"/>
          <w:szCs w:val="36"/>
        </w:rPr>
        <w:t xml:space="preserve">8. Lead Status Flow</w:t>
      </w: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lead progresses through these statuses as the system processes them: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qualified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sent_day0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sent_day3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sent_day7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replied / unsubscribed</w:t>
            </w:r>
          </w:p>
        </w:tc>
      </w:tr>
    </w:tbl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dashboard shows real-time stats and allows filtering by any status, giving full visibility into the pipeline at a glance.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Aviance  •  aviance.online  •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Calibri" w:cs="Calibri" w:eastAsia="Calibri" w:hAnsi="Calibri"/>
        <w:b/>
        <w:bCs/>
        <w:color w:val="0F3460"/>
        <w:sz w:val="18"/>
        <w:szCs w:val="18"/>
      </w:rPr>
      <w:t xml:space="preserve">AVIANCE</w:t>
    </w:r>
    <w:r>
      <w:rPr>
        <w:rFonts w:ascii="Calibri" w:cs="Calibri" w:eastAsia="Calibri" w:hAnsi="Calibri"/>
        <w:color w:val="888888"/>
        <w:sz w:val="18"/>
        <w:szCs w:val="18"/>
      </w:rPr>
      <w:t xml:space="preserve">  |  MailDistro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tinxceetcc3laalke6lc" Type="http://schemas.openxmlformats.org/officeDocument/2006/relationships/hyperlink" Target="https://www.aviance.onlin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2026-05-26T19:41:49.801Z</dcterms:created>
  <dcterms:modified xsi:type="dcterms:W3CDTF">2026-05-26T19:41:49.810Z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