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0F8" w:rsidRPr="000430F8" w:rsidRDefault="000430F8" w:rsidP="000430F8">
      <w:pPr>
        <w:widowControl/>
        <w:shd w:val="clear" w:color="auto" w:fill="F8F8F8"/>
        <w:spacing w:line="540" w:lineRule="atLeast"/>
        <w:jc w:val="center"/>
        <w:outlineLvl w:val="0"/>
        <w:rPr>
          <w:rFonts w:ascii="微软雅黑" w:eastAsia="微软雅黑" w:hAnsi="微软雅黑" w:cs="宋体"/>
          <w:color w:val="000000"/>
          <w:kern w:val="36"/>
          <w:sz w:val="42"/>
          <w:szCs w:val="42"/>
        </w:rPr>
      </w:pPr>
      <w:r w:rsidRPr="000430F8">
        <w:rPr>
          <w:rFonts w:ascii="微软雅黑" w:eastAsia="微软雅黑" w:hAnsi="微软雅黑" w:cs="宋体" w:hint="eastAsia"/>
          <w:color w:val="000000"/>
          <w:kern w:val="36"/>
          <w:sz w:val="42"/>
          <w:szCs w:val="42"/>
        </w:rPr>
        <w:t>【债市周报】特别国债引发流动性担忧 货币政策仍有放松空间 </w:t>
      </w:r>
    </w:p>
    <w:p w:rsidR="000430F8" w:rsidRPr="000430F8" w:rsidRDefault="000430F8" w:rsidP="000430F8">
      <w:pPr>
        <w:widowControl/>
        <w:shd w:val="clear" w:color="auto" w:fill="F8F8F8"/>
        <w:spacing w:line="300" w:lineRule="atLeast"/>
        <w:jc w:val="center"/>
        <w:rPr>
          <w:rFonts w:ascii="微软雅黑" w:eastAsia="微软雅黑" w:hAnsi="微软雅黑" w:cs="宋体" w:hint="eastAsia"/>
          <w:color w:val="ADADAD"/>
          <w:kern w:val="0"/>
          <w:sz w:val="18"/>
          <w:szCs w:val="18"/>
        </w:rPr>
      </w:pPr>
      <w:r w:rsidRPr="000430F8">
        <w:rPr>
          <w:rFonts w:ascii="微软雅黑" w:eastAsia="微软雅黑" w:hAnsi="微软雅黑" w:cs="宋体" w:hint="eastAsia"/>
          <w:color w:val="ADADAD"/>
          <w:kern w:val="0"/>
          <w:sz w:val="18"/>
          <w:szCs w:val="18"/>
        </w:rPr>
        <w:t>2020年03月31日 17:05 来源于 财新数据通</w:t>
      </w:r>
    </w:p>
    <w:p w:rsidR="000430F8" w:rsidRPr="000430F8" w:rsidRDefault="000430F8" w:rsidP="000430F8">
      <w:pPr>
        <w:widowControl/>
        <w:shd w:val="clear" w:color="auto" w:fill="F1F1F1"/>
        <w:spacing w:line="330" w:lineRule="atLeast"/>
        <w:jc w:val="left"/>
        <w:rPr>
          <w:rFonts w:ascii="微软雅黑" w:eastAsia="微软雅黑" w:hAnsi="微软雅黑" w:cs="宋体" w:hint="eastAsia"/>
          <w:color w:val="5C5C5C"/>
          <w:kern w:val="0"/>
          <w:szCs w:val="21"/>
        </w:rPr>
      </w:pPr>
      <w:r w:rsidRPr="000430F8">
        <w:rPr>
          <w:rFonts w:ascii="微软雅黑" w:eastAsia="微软雅黑" w:hAnsi="微软雅黑" w:cs="宋体" w:hint="eastAsia"/>
          <w:color w:val="5C5C5C"/>
          <w:kern w:val="0"/>
          <w:szCs w:val="21"/>
        </w:rPr>
        <w:t>中央政治局提出发行特别国债，引发市场关注特别国债增发的供给压力。机构普遍认为，特别国债对债市冲击不大，对市场流动性影响有限</w:t>
      </w:r>
    </w:p>
    <w:p w:rsidR="000430F8" w:rsidRDefault="000430F8" w:rsidP="000430F8">
      <w:pPr>
        <w:pStyle w:val="a5"/>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【财新数据专稿】（实习记者 封寒冰 记</w:t>
      </w:r>
      <w:bookmarkStart w:id="0" w:name="_GoBack"/>
      <w:bookmarkEnd w:id="0"/>
      <w:r>
        <w:rPr>
          <w:rFonts w:ascii="微软雅黑" w:eastAsia="微软雅黑" w:hAnsi="微软雅黑" w:hint="eastAsia"/>
          <w:color w:val="4A4A4A"/>
        </w:rPr>
        <w:t>者 牟雅菲）上周资金面整体宽松，季末流动性宽松无虞。上周五，中央政治局会议提出发行特别国债，机构预计积极财政政策将有宽松货币政策对冲，对</w:t>
      </w:r>
      <w:hyperlink r:id="rId6" w:tgtFrame="_blank" w:history="1">
        <w:r>
          <w:rPr>
            <w:rStyle w:val="a6"/>
            <w:rFonts w:ascii="微软雅黑" w:eastAsia="微软雅黑" w:hAnsi="微软雅黑" w:hint="eastAsia"/>
            <w:color w:val="336699"/>
          </w:rPr>
          <w:t>债市</w:t>
        </w:r>
      </w:hyperlink>
      <w:r>
        <w:rPr>
          <w:rFonts w:ascii="微软雅黑" w:eastAsia="微软雅黑" w:hAnsi="微软雅黑" w:hint="eastAsia"/>
          <w:color w:val="4A4A4A"/>
        </w:rPr>
        <w:t>冲击有限。</w:t>
      </w:r>
    </w:p>
    <w:p w:rsidR="000430F8" w:rsidRDefault="000430F8" w:rsidP="000430F8">
      <w:pPr>
        <w:pStyle w:val="a5"/>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资金面整体宽松 货币政策利好仍在</w:t>
      </w:r>
    </w:p>
    <w:p w:rsidR="000430F8" w:rsidRDefault="000430F8" w:rsidP="000430F8">
      <w:pPr>
        <w:pStyle w:val="a5"/>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3月23日-3月29日），央行投放MLF1000亿元，央行公开市场无投放、无到期。上周资金面整体宽松，资金利率大幅走低。较之前一周（下同），R001均值下行8.50BP至0.9577%，R007均值下行8.40BP至1.7660%。DR001均值下行8.72BP至0.8872%，DR007均值下行21.71BP至1.4968%。SHIBOR利率多数下行，隔夜利率连续四天位于1%以下，7天利率一度跌至1.13%的历史最低水平。上周五（3月27日），SHIBOR隔夜上行30.90BP为1.1040%，银行间资金面在季末有所收缩，但总体上跨季无压力。</w:t>
      </w:r>
    </w:p>
    <w:p w:rsidR="000430F8" w:rsidRDefault="000430F8" w:rsidP="000430F8">
      <w:pPr>
        <w:pStyle w:val="a5"/>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3月27日，中央政治局会议明确加大宏观政策调节和实施力度，指出要适当提高财政赤字率、发行特别国债、增加专项债规模。市场对于后续货币政策再出新招的预期较强。预计2季度央行将继续下调MLF及LPR利率，申万宏源表示，积极的财政政策也需要宽松的货币政策配合，短期来看宏观政策组合对债市利好仍在。</w:t>
      </w:r>
    </w:p>
    <w:p w:rsidR="000430F8" w:rsidRDefault="000430F8" w:rsidP="000430F8">
      <w:pPr>
        <w:pStyle w:val="a5"/>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lastRenderedPageBreak/>
        <w:t xml:space="preserve">　　海外市场方面，刺激政策和对冲政策纷纷出台。</w:t>
      </w:r>
      <w:hyperlink r:id="rId7" w:tgtFrame="_blank" w:history="1">
        <w:r>
          <w:rPr>
            <w:rStyle w:val="a6"/>
            <w:rFonts w:ascii="微软雅黑" w:eastAsia="微软雅黑" w:hAnsi="微软雅黑" w:hint="eastAsia"/>
            <w:color w:val="336699"/>
          </w:rPr>
          <w:t>华创证券</w:t>
        </w:r>
      </w:hyperlink>
      <w:r>
        <w:rPr>
          <w:rFonts w:ascii="微软雅黑" w:eastAsia="微软雅黑" w:hAnsi="微软雅黑" w:hint="eastAsia"/>
          <w:color w:val="4A4A4A"/>
        </w:rPr>
        <w:t>表示，G20领导人会议强调各国要加强协调，国内领导人强调要实施有力有效的财政和货币政策，当前海外各国货币政策均大幅加码宽松，未来我国货币政策仍有放松空间。</w:t>
      </w:r>
    </w:p>
    <w:p w:rsidR="000430F8" w:rsidRDefault="000430F8" w:rsidP="000430F8">
      <w:pPr>
        <w:pStyle w:val="a5"/>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特别国债对债市冲击不大</w:t>
      </w:r>
    </w:p>
    <w:p w:rsidR="000430F8" w:rsidRDefault="000430F8" w:rsidP="000430F8">
      <w:pPr>
        <w:pStyle w:val="a5"/>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上周五，中央政治局提出发行特别国债，引发市场关注特别国债增发的供给压力。机构普遍认为，特别国债对债市冲击不大，对市场流动性影响有限。</w:t>
      </w:r>
    </w:p>
    <w:p w:rsidR="000430F8" w:rsidRDefault="000430F8" w:rsidP="000430F8">
      <w:pPr>
        <w:pStyle w:val="a5"/>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特别国债是服务于特定政策、支持特定项目需要而发行的国债。特别国债发行除应用于“老基建”之外，还有可能侧重于“新基建”、消费补贴方面，推动当前受疫情影响的内需回暖，带来经济企稳。</w:t>
      </w:r>
      <w:hyperlink r:id="rId8" w:tgtFrame="_blank" w:history="1">
        <w:r>
          <w:rPr>
            <w:rStyle w:val="a6"/>
            <w:rFonts w:ascii="微软雅黑" w:eastAsia="微软雅黑" w:hAnsi="微软雅黑" w:hint="eastAsia"/>
            <w:color w:val="336699"/>
          </w:rPr>
          <w:t>华泰证券</w:t>
        </w:r>
      </w:hyperlink>
      <w:r>
        <w:rPr>
          <w:rFonts w:ascii="微软雅黑" w:eastAsia="微软雅黑" w:hAnsi="微软雅黑" w:hint="eastAsia"/>
          <w:color w:val="4A4A4A"/>
        </w:rPr>
        <w:t>认为，发行特别国债具有诸多优势，包括针对特定用途而发行，更加契合当前应对疫情冲击的政策目标；为中央政府加杠杆的直接手段，可避免地方政府债务过快上升。</w:t>
      </w:r>
    </w:p>
    <w:p w:rsidR="000430F8" w:rsidRDefault="000430F8" w:rsidP="000430F8">
      <w:pPr>
        <w:pStyle w:val="a5"/>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面对市场对流动性的担心，华泰证券认为，由于特别国债定向发行的可能性较大，公开发行预计央行货币政策也会配合，因此对流动性的影响预计有限。国海证券同样表示，本次特别国债发行规模可能在万亿以上，对债市的供给冲击将取决于对冲政策的实施力度。本次政治局会议除了提出“发行特别国债”以外，同时提出“引导LPR下行”。因此预计接下来的特别国债发行期间，央行将会出台降准等货币宽松措施，对冲国债发行带来的供给冲击。</w:t>
      </w:r>
    </w:p>
    <w:p w:rsidR="000430F8" w:rsidRDefault="000430F8" w:rsidP="000430F8">
      <w:pPr>
        <w:pStyle w:val="a5"/>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利率债市场情况</w:t>
      </w:r>
    </w:p>
    <w:p w:rsidR="000430F8" w:rsidRDefault="000430F8" w:rsidP="000430F8">
      <w:pPr>
        <w:pStyle w:val="a5"/>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上周（3月23日-3月29日）国债、地方政府债、政策性金融债共发行46只，发行总额2206.06亿元，环比减少1247.59亿元。</w:t>
      </w:r>
    </w:p>
    <w:p w:rsidR="000430F8" w:rsidRDefault="000430F8" w:rsidP="000430F8">
      <w:r>
        <w:rPr>
          <w:rFonts w:hint="eastAsia"/>
          <w:noProof/>
        </w:rPr>
        <w:lastRenderedPageBreak/>
        <w:drawing>
          <wp:inline distT="0" distB="0" distL="0" distR="0">
            <wp:extent cx="3657600" cy="243779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8564427169401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0" cy="2437790"/>
                    </a:xfrm>
                    <a:prstGeom prst="rect">
                      <a:avLst/>
                    </a:prstGeom>
                  </pic:spPr>
                </pic:pic>
              </a:graphicData>
            </a:graphic>
          </wp:inline>
        </w:drawing>
      </w:r>
    </w:p>
    <w:p w:rsidR="000430F8" w:rsidRDefault="000430F8" w:rsidP="000430F8">
      <w:pPr>
        <w:pStyle w:val="a5"/>
        <w:shd w:val="clear" w:color="auto" w:fill="F8F8F8"/>
        <w:spacing w:before="0" w:beforeAutospacing="0" w:after="0" w:afterAutospacing="0"/>
        <w:jc w:val="both"/>
        <w:rPr>
          <w:rFonts w:ascii="微软雅黑" w:eastAsia="微软雅黑" w:hAnsi="微软雅黑"/>
          <w:color w:val="4A4A4A"/>
        </w:rPr>
      </w:pPr>
      <w:r>
        <w:rPr>
          <w:rFonts w:ascii="微软雅黑" w:eastAsia="微软雅黑" w:hAnsi="微软雅黑" w:hint="eastAsia"/>
          <w:color w:val="4A4A4A"/>
        </w:rPr>
        <w:t>上周债市收益率以下行为主，但下降幅度有限。1年期国债收益率均值下降11.52BP至1.7767%，10年期国债收益率均值下降8.44BP至2.6158%。1年期国开债收益率均值下降13.63BP至1.9230%，10年期国开债收益率下降4.72BP至3.0130%。国债和国开债期限利差均走阔。</w:t>
      </w:r>
    </w:p>
    <w:p w:rsidR="000430F8" w:rsidRDefault="000430F8" w:rsidP="000430F8">
      <w:pPr>
        <w:pStyle w:val="a5"/>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w:t>
      </w:r>
      <w:r>
        <w:rPr>
          <w:rFonts w:ascii="微软雅黑" w:eastAsia="微软雅黑" w:hAnsi="微软雅黑" w:hint="eastAsia"/>
          <w:b/>
          <w:bCs/>
          <w:color w:val="4A4A4A"/>
        </w:rPr>
        <w:t>信用债市场情况</w:t>
      </w:r>
    </w:p>
    <w:p w:rsidR="000430F8" w:rsidRDefault="000430F8" w:rsidP="000430F8">
      <w:pPr>
        <w:pStyle w:val="a5"/>
        <w:shd w:val="clear" w:color="auto" w:fill="F8F8F8"/>
        <w:spacing w:before="0" w:beforeAutospacing="0" w:after="0" w:afterAutospacing="0"/>
        <w:jc w:val="both"/>
        <w:rPr>
          <w:rFonts w:ascii="微软雅黑" w:eastAsia="微软雅黑" w:hAnsi="微软雅黑" w:hint="eastAsia"/>
          <w:color w:val="4A4A4A"/>
        </w:rPr>
      </w:pPr>
      <w:r>
        <w:rPr>
          <w:rFonts w:ascii="微软雅黑" w:eastAsia="微软雅黑" w:hAnsi="微软雅黑" w:hint="eastAsia"/>
          <w:color w:val="4A4A4A"/>
        </w:rPr>
        <w:t xml:space="preserve">　　上周（3月23日-3月29日）共发行1042只信用债，发行总额6975.09亿元，环比减少1538.69亿元。</w:t>
      </w:r>
    </w:p>
    <w:p w:rsidR="000430F8" w:rsidRDefault="000430F8" w:rsidP="000430F8">
      <w:r>
        <w:rPr>
          <w:rFonts w:hint="eastAsia"/>
          <w:noProof/>
        </w:rPr>
        <w:drawing>
          <wp:inline distT="0" distB="0" distL="0" distR="0">
            <wp:extent cx="3657600" cy="243779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8564525522504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2437790"/>
                    </a:xfrm>
                    <a:prstGeom prst="rect">
                      <a:avLst/>
                    </a:prstGeom>
                  </pic:spPr>
                </pic:pic>
              </a:graphicData>
            </a:graphic>
          </wp:inline>
        </w:drawing>
      </w:r>
    </w:p>
    <w:p w:rsidR="000430F8" w:rsidRPr="000430F8" w:rsidRDefault="000430F8" w:rsidP="000430F8">
      <w:pPr>
        <w:widowControl/>
        <w:shd w:val="clear" w:color="auto" w:fill="F8F8F8"/>
        <w:rPr>
          <w:rFonts w:ascii="微软雅黑" w:eastAsia="微软雅黑" w:hAnsi="微软雅黑" w:cs="宋体"/>
          <w:color w:val="4A4A4A"/>
          <w:kern w:val="0"/>
          <w:sz w:val="24"/>
          <w:szCs w:val="24"/>
        </w:rPr>
      </w:pPr>
      <w:r w:rsidRPr="000430F8">
        <w:rPr>
          <w:rFonts w:ascii="微软雅黑" w:eastAsia="微软雅黑" w:hAnsi="微软雅黑" w:cs="宋体" w:hint="eastAsia"/>
          <w:color w:val="4A4A4A"/>
          <w:kern w:val="0"/>
          <w:sz w:val="24"/>
          <w:szCs w:val="24"/>
        </w:rPr>
        <w:t>上周各类信用债收益率均主要呈下降趋势，逆转之前一周上升趋势。截至上周五（3月27日），较之前一周（下同），3年期收益率AAA级下降15.13BP，</w:t>
      </w:r>
      <w:r w:rsidRPr="000430F8">
        <w:rPr>
          <w:rFonts w:ascii="微软雅黑" w:eastAsia="微软雅黑" w:hAnsi="微软雅黑" w:cs="宋体" w:hint="eastAsia"/>
          <w:color w:val="4A4A4A"/>
          <w:kern w:val="0"/>
          <w:sz w:val="24"/>
          <w:szCs w:val="24"/>
        </w:rPr>
        <w:lastRenderedPageBreak/>
        <w:t>AA+级下降11.13BP，AA级和AA-级均下降7.13BP。5年期收益率AAA级下降10.24BP，AA+级下降6.24BP，AA级下降0.76BP，AA-级下降2.24BP。中短期票据1年期各级收益率AAA级下降8.94BP，AA+级下降4.94BP，AA级和AA-级均下降0.94BP。</w:t>
      </w:r>
    </w:p>
    <w:p w:rsidR="000430F8" w:rsidRPr="000430F8" w:rsidRDefault="000430F8" w:rsidP="000430F8">
      <w:pPr>
        <w:widowControl/>
        <w:shd w:val="clear" w:color="auto" w:fill="F8F8F8"/>
        <w:rPr>
          <w:rFonts w:ascii="微软雅黑" w:eastAsia="微软雅黑" w:hAnsi="微软雅黑" w:cs="宋体" w:hint="eastAsia"/>
          <w:color w:val="4A4A4A"/>
          <w:kern w:val="0"/>
          <w:sz w:val="24"/>
          <w:szCs w:val="24"/>
        </w:rPr>
      </w:pPr>
      <w:r w:rsidRPr="000430F8">
        <w:rPr>
          <w:rFonts w:ascii="微软雅黑" w:eastAsia="微软雅黑" w:hAnsi="微软雅黑" w:cs="宋体" w:hint="eastAsia"/>
          <w:color w:val="4A4A4A"/>
          <w:kern w:val="0"/>
          <w:sz w:val="24"/>
          <w:szCs w:val="24"/>
        </w:rPr>
        <w:t xml:space="preserve">　　</w:t>
      </w:r>
      <w:r w:rsidRPr="000430F8">
        <w:rPr>
          <w:rFonts w:ascii="微软雅黑" w:eastAsia="微软雅黑" w:hAnsi="微软雅黑" w:cs="宋体" w:hint="eastAsia"/>
          <w:b/>
          <w:bCs/>
          <w:color w:val="4A4A4A"/>
          <w:kern w:val="0"/>
          <w:sz w:val="24"/>
          <w:szCs w:val="24"/>
        </w:rPr>
        <w:t>主体评级调整和违约债券统计</w:t>
      </w:r>
    </w:p>
    <w:p w:rsidR="000430F8" w:rsidRPr="000430F8" w:rsidRDefault="000430F8" w:rsidP="000430F8">
      <w:pPr>
        <w:widowControl/>
        <w:shd w:val="clear" w:color="auto" w:fill="F8F8F8"/>
        <w:rPr>
          <w:rFonts w:ascii="微软雅黑" w:eastAsia="微软雅黑" w:hAnsi="微软雅黑" w:cs="宋体" w:hint="eastAsia"/>
          <w:color w:val="4A4A4A"/>
          <w:kern w:val="0"/>
          <w:sz w:val="24"/>
          <w:szCs w:val="24"/>
        </w:rPr>
      </w:pPr>
      <w:r w:rsidRPr="000430F8">
        <w:rPr>
          <w:rFonts w:ascii="微软雅黑" w:eastAsia="微软雅黑" w:hAnsi="微软雅黑" w:cs="宋体" w:hint="eastAsia"/>
          <w:color w:val="4A4A4A"/>
          <w:kern w:val="0"/>
          <w:sz w:val="24"/>
          <w:szCs w:val="24"/>
        </w:rPr>
        <w:t xml:space="preserve">　　上周（3月23日-3月29日）有3家企业主体评级被上调。</w:t>
      </w:r>
    </w:p>
    <w:tbl>
      <w:tblPr>
        <w:tblW w:w="0" w:type="auto"/>
        <w:jc w:val="center"/>
        <w:tblCellSpacing w:w="0" w:type="dxa"/>
        <w:shd w:val="clear" w:color="auto" w:fill="F8F8F8"/>
        <w:tblCellMar>
          <w:left w:w="0" w:type="dxa"/>
          <w:right w:w="0" w:type="dxa"/>
        </w:tblCellMar>
        <w:tblLook w:val="04A0" w:firstRow="1" w:lastRow="0" w:firstColumn="1" w:lastColumn="0" w:noHBand="0" w:noVBand="1"/>
      </w:tblPr>
      <w:tblGrid>
        <w:gridCol w:w="5760"/>
      </w:tblGrid>
      <w:tr w:rsidR="000430F8" w:rsidRPr="000430F8" w:rsidTr="000430F8">
        <w:trPr>
          <w:tblCellSpacing w:w="0" w:type="dxa"/>
          <w:jc w:val="center"/>
        </w:trPr>
        <w:tc>
          <w:tcPr>
            <w:tcW w:w="0" w:type="auto"/>
            <w:shd w:val="clear" w:color="auto" w:fill="F8F8F8"/>
            <w:vAlign w:val="center"/>
          </w:tcPr>
          <w:p w:rsidR="000430F8" w:rsidRPr="000430F8" w:rsidRDefault="000430F8" w:rsidP="000430F8">
            <w:pPr>
              <w:widowControl/>
              <w:jc w:val="center"/>
              <w:rPr>
                <w:rFonts w:ascii="微软雅黑" w:eastAsia="微软雅黑" w:hAnsi="微软雅黑" w:cs="宋体" w:hint="eastAsia"/>
                <w:color w:val="4A4A4A"/>
                <w:kern w:val="0"/>
                <w:sz w:val="24"/>
                <w:szCs w:val="24"/>
              </w:rPr>
            </w:pPr>
            <w:r>
              <w:rPr>
                <w:rFonts w:ascii="微软雅黑" w:eastAsia="微软雅黑" w:hAnsi="微软雅黑" w:cs="宋体" w:hint="eastAsia"/>
                <w:noProof/>
                <w:color w:val="4A4A4A"/>
                <w:kern w:val="0"/>
                <w:sz w:val="24"/>
                <w:szCs w:val="24"/>
              </w:rPr>
              <w:drawing>
                <wp:inline distT="0" distB="0" distL="0" distR="0">
                  <wp:extent cx="3657600" cy="974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564532670437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974750"/>
                          </a:xfrm>
                          <a:prstGeom prst="rect">
                            <a:avLst/>
                          </a:prstGeom>
                        </pic:spPr>
                      </pic:pic>
                    </a:graphicData>
                  </a:graphic>
                </wp:inline>
              </w:drawing>
            </w:r>
          </w:p>
        </w:tc>
      </w:tr>
      <w:tr w:rsidR="000430F8" w:rsidRPr="000430F8" w:rsidTr="000430F8">
        <w:trPr>
          <w:tblCellSpacing w:w="0" w:type="dxa"/>
          <w:jc w:val="center"/>
        </w:trPr>
        <w:tc>
          <w:tcPr>
            <w:tcW w:w="0" w:type="auto"/>
            <w:shd w:val="clear" w:color="auto" w:fill="F8F8F8"/>
            <w:vAlign w:val="center"/>
          </w:tcPr>
          <w:p w:rsidR="000430F8" w:rsidRPr="000430F8" w:rsidRDefault="000430F8" w:rsidP="000430F8">
            <w:pPr>
              <w:widowControl/>
              <w:rPr>
                <w:rFonts w:ascii="微软雅黑" w:eastAsia="微软雅黑" w:hAnsi="微软雅黑" w:cs="宋体" w:hint="eastAsia"/>
                <w:color w:val="4A4A4A"/>
                <w:kern w:val="0"/>
                <w:sz w:val="24"/>
                <w:szCs w:val="24"/>
              </w:rPr>
            </w:pPr>
          </w:p>
        </w:tc>
      </w:tr>
    </w:tbl>
    <w:p w:rsidR="000430F8" w:rsidRPr="000430F8" w:rsidRDefault="000430F8" w:rsidP="000430F8">
      <w:pPr>
        <w:widowControl/>
        <w:shd w:val="clear" w:color="auto" w:fill="F8F8F8"/>
        <w:rPr>
          <w:rFonts w:ascii="微软雅黑" w:eastAsia="微软雅黑" w:hAnsi="微软雅黑" w:cs="宋体"/>
          <w:color w:val="4A4A4A"/>
          <w:kern w:val="0"/>
          <w:sz w:val="24"/>
          <w:szCs w:val="24"/>
        </w:rPr>
      </w:pPr>
      <w:r w:rsidRPr="000430F8">
        <w:rPr>
          <w:rFonts w:ascii="微软雅黑" w:eastAsia="微软雅黑" w:hAnsi="微软雅黑" w:cs="宋体" w:hint="eastAsia"/>
          <w:color w:val="4A4A4A"/>
          <w:kern w:val="0"/>
          <w:sz w:val="24"/>
          <w:szCs w:val="24"/>
        </w:rPr>
        <w:t xml:space="preserve">　有6家企业主体评级被下调。</w:t>
      </w:r>
    </w:p>
    <w:tbl>
      <w:tblPr>
        <w:tblW w:w="0" w:type="auto"/>
        <w:jc w:val="center"/>
        <w:tblCellSpacing w:w="0" w:type="dxa"/>
        <w:shd w:val="clear" w:color="auto" w:fill="F8F8F8"/>
        <w:tblCellMar>
          <w:left w:w="0" w:type="dxa"/>
          <w:right w:w="0" w:type="dxa"/>
        </w:tblCellMar>
        <w:tblLook w:val="04A0" w:firstRow="1" w:lastRow="0" w:firstColumn="1" w:lastColumn="0" w:noHBand="0" w:noVBand="1"/>
      </w:tblPr>
      <w:tblGrid>
        <w:gridCol w:w="6237"/>
      </w:tblGrid>
      <w:tr w:rsidR="000430F8" w:rsidRPr="000430F8" w:rsidTr="000430F8">
        <w:trPr>
          <w:tblCellSpacing w:w="0" w:type="dxa"/>
          <w:jc w:val="center"/>
        </w:trPr>
        <w:tc>
          <w:tcPr>
            <w:tcW w:w="0" w:type="auto"/>
            <w:shd w:val="clear" w:color="auto" w:fill="F8F8F8"/>
            <w:vAlign w:val="center"/>
            <w:hideMark/>
          </w:tcPr>
          <w:p w:rsidR="000430F8" w:rsidRPr="000430F8" w:rsidRDefault="000430F8" w:rsidP="000430F8">
            <w:pPr>
              <w:widowControl/>
              <w:jc w:val="center"/>
              <w:rPr>
                <w:rFonts w:ascii="微软雅黑" w:eastAsia="微软雅黑" w:hAnsi="微软雅黑" w:cs="宋体" w:hint="eastAsia"/>
                <w:color w:val="4A4A4A"/>
                <w:kern w:val="0"/>
                <w:sz w:val="24"/>
                <w:szCs w:val="24"/>
              </w:rPr>
            </w:pPr>
            <w:r>
              <w:rPr>
                <w:rFonts w:ascii="微软雅黑" w:eastAsia="微软雅黑" w:hAnsi="微软雅黑" w:cs="宋体"/>
                <w:noProof/>
                <w:color w:val="4A4A4A"/>
                <w:kern w:val="0"/>
                <w:sz w:val="24"/>
                <w:szCs w:val="24"/>
              </w:rPr>
              <w:drawing>
                <wp:inline distT="0" distB="0" distL="0" distR="0">
                  <wp:extent cx="3657600" cy="974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564539405807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0" cy="974750"/>
                          </a:xfrm>
                          <a:prstGeom prst="rect">
                            <a:avLst/>
                          </a:prstGeom>
                        </pic:spPr>
                      </pic:pic>
                    </a:graphicData>
                  </a:graphic>
                </wp:inline>
              </w:drawing>
            </w:r>
            <w:r w:rsidRPr="000430F8">
              <w:rPr>
                <w:rFonts w:ascii="微软雅黑" w:eastAsia="微软雅黑" w:hAnsi="微软雅黑" w:cs="宋体"/>
                <w:noProof/>
                <w:color w:val="4A4A4A"/>
                <w:kern w:val="0"/>
                <w:sz w:val="24"/>
                <w:szCs w:val="24"/>
              </w:rPr>
              <mc:AlternateContent>
                <mc:Choice Requires="wps">
                  <w:drawing>
                    <wp:inline distT="0" distB="0" distL="0" distR="0">
                      <wp:extent cx="302895" cy="302895"/>
                      <wp:effectExtent l="0" t="0" r="0" b="1905"/>
                      <wp:docPr id="6" name="矩形 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5AD8D" id="矩形 6" o:spid="_x0000_s1026" alt="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" filled="f" stroked="f">
                      <o:lock v:ext="edit" aspectratio="t"/>
                      <w10:anchorlock/>
                    </v:rect>
                  </w:pict>
                </mc:Fallback>
              </mc:AlternateContent>
            </w:r>
          </w:p>
        </w:tc>
      </w:tr>
      <w:tr w:rsidR="000430F8" w:rsidRPr="000430F8" w:rsidTr="000430F8">
        <w:trPr>
          <w:tblCellSpacing w:w="0" w:type="dxa"/>
          <w:jc w:val="center"/>
        </w:trPr>
        <w:tc>
          <w:tcPr>
            <w:tcW w:w="0" w:type="auto"/>
            <w:shd w:val="clear" w:color="auto" w:fill="F8F8F8"/>
            <w:vAlign w:val="center"/>
            <w:hideMark/>
          </w:tcPr>
          <w:p w:rsidR="000430F8" w:rsidRPr="000430F8" w:rsidRDefault="000430F8" w:rsidP="000430F8">
            <w:pPr>
              <w:widowControl/>
              <w:jc w:val="center"/>
              <w:rPr>
                <w:rFonts w:ascii="微软雅黑" w:eastAsia="微软雅黑" w:hAnsi="微软雅黑" w:cs="宋体" w:hint="eastAsia"/>
                <w:color w:val="4A4A4A"/>
                <w:kern w:val="0"/>
                <w:sz w:val="24"/>
                <w:szCs w:val="24"/>
              </w:rPr>
            </w:pPr>
          </w:p>
        </w:tc>
      </w:tr>
    </w:tbl>
    <w:p w:rsidR="000430F8" w:rsidRPr="000430F8" w:rsidRDefault="000430F8" w:rsidP="000430F8">
      <w:pPr>
        <w:widowControl/>
        <w:shd w:val="clear" w:color="auto" w:fill="F8F8F8"/>
        <w:rPr>
          <w:rFonts w:ascii="微软雅黑" w:eastAsia="微软雅黑" w:hAnsi="微软雅黑" w:cs="宋体"/>
          <w:color w:val="4A4A4A"/>
          <w:kern w:val="0"/>
          <w:sz w:val="24"/>
          <w:szCs w:val="24"/>
        </w:rPr>
      </w:pPr>
      <w:r w:rsidRPr="000430F8">
        <w:rPr>
          <w:rFonts w:ascii="微软雅黑" w:eastAsia="微软雅黑" w:hAnsi="微软雅黑" w:cs="宋体" w:hint="eastAsia"/>
          <w:color w:val="4A4A4A"/>
          <w:kern w:val="0"/>
          <w:sz w:val="24"/>
          <w:szCs w:val="24"/>
        </w:rPr>
        <w:t xml:space="preserve">　　上周</w:t>
      </w:r>
      <w:hyperlink r:id="rId13" w:tgtFrame="_blank" w:history="1">
        <w:r w:rsidRPr="000430F8">
          <w:rPr>
            <w:rFonts w:ascii="微软雅黑" w:eastAsia="微软雅黑" w:hAnsi="微软雅黑" w:cs="宋体" w:hint="eastAsia"/>
            <w:color w:val="336699"/>
            <w:kern w:val="0"/>
            <w:sz w:val="24"/>
            <w:szCs w:val="24"/>
          </w:rPr>
          <w:t>安徽省外经建设（集团）有限公司</w:t>
        </w:r>
      </w:hyperlink>
      <w:r w:rsidRPr="000430F8">
        <w:rPr>
          <w:rFonts w:ascii="微软雅黑" w:eastAsia="微软雅黑" w:hAnsi="微软雅黑" w:cs="宋体" w:hint="eastAsia"/>
          <w:color w:val="4A4A4A"/>
          <w:kern w:val="0"/>
          <w:sz w:val="24"/>
          <w:szCs w:val="24"/>
        </w:rPr>
        <w:t>发行的“18皖经建MTN002“发生利息违约，违约金额3800万元。”</w:t>
      </w:r>
    </w:p>
    <w:p w:rsidR="000430F8" w:rsidRPr="000430F8" w:rsidRDefault="000430F8" w:rsidP="000430F8">
      <w:pPr>
        <w:widowControl/>
        <w:shd w:val="clear" w:color="auto" w:fill="F8F8F8"/>
        <w:rPr>
          <w:rFonts w:ascii="微软雅黑" w:eastAsia="微软雅黑" w:hAnsi="微软雅黑" w:cs="宋体" w:hint="eastAsia"/>
          <w:color w:val="4A4A4A"/>
          <w:kern w:val="0"/>
          <w:sz w:val="24"/>
          <w:szCs w:val="24"/>
        </w:rPr>
      </w:pPr>
      <w:r w:rsidRPr="000430F8">
        <w:rPr>
          <w:rFonts w:ascii="微软雅黑" w:eastAsia="微软雅黑" w:hAnsi="微软雅黑" w:cs="宋体" w:hint="eastAsia"/>
          <w:color w:val="4A4A4A"/>
          <w:kern w:val="0"/>
          <w:sz w:val="24"/>
          <w:szCs w:val="24"/>
        </w:rPr>
        <w:t xml:space="preserve">　　</w:t>
      </w:r>
      <w:r w:rsidRPr="000430F8">
        <w:rPr>
          <w:rFonts w:ascii="微软雅黑" w:eastAsia="微软雅黑" w:hAnsi="微软雅黑" w:cs="宋体" w:hint="eastAsia"/>
          <w:b/>
          <w:bCs/>
          <w:color w:val="4A4A4A"/>
          <w:kern w:val="0"/>
          <w:sz w:val="24"/>
          <w:szCs w:val="24"/>
        </w:rPr>
        <w:t>债市要闻</w:t>
      </w:r>
    </w:p>
    <w:p w:rsidR="000430F8" w:rsidRPr="000430F8" w:rsidRDefault="000430F8" w:rsidP="000430F8">
      <w:pPr>
        <w:widowControl/>
        <w:shd w:val="clear" w:color="auto" w:fill="F8F8F8"/>
        <w:rPr>
          <w:rFonts w:ascii="微软雅黑" w:eastAsia="微软雅黑" w:hAnsi="微软雅黑" w:cs="宋体" w:hint="eastAsia"/>
          <w:color w:val="4A4A4A"/>
          <w:kern w:val="0"/>
          <w:sz w:val="24"/>
          <w:szCs w:val="24"/>
        </w:rPr>
      </w:pPr>
      <w:r w:rsidRPr="000430F8">
        <w:rPr>
          <w:rFonts w:ascii="微软雅黑" w:eastAsia="微软雅黑" w:hAnsi="微软雅黑" w:cs="宋体" w:hint="eastAsia"/>
          <w:color w:val="4A4A4A"/>
          <w:kern w:val="0"/>
          <w:sz w:val="24"/>
          <w:szCs w:val="24"/>
        </w:rPr>
        <w:t xml:space="preserve">　　</w:t>
      </w:r>
      <w:hyperlink r:id="rId14" w:tgtFrame="_blank" w:history="1">
        <w:r w:rsidRPr="000430F8">
          <w:rPr>
            <w:rFonts w:ascii="微软雅黑" w:eastAsia="微软雅黑" w:hAnsi="微软雅黑" w:cs="宋体" w:hint="eastAsia"/>
            <w:color w:val="336699"/>
            <w:kern w:val="0"/>
            <w:sz w:val="24"/>
            <w:szCs w:val="24"/>
          </w:rPr>
          <w:t>国广控股变卦 债券打五折借疫情赖账【财新网】</w:t>
        </w:r>
      </w:hyperlink>
    </w:p>
    <w:p w:rsidR="000430F8" w:rsidRPr="000430F8" w:rsidRDefault="000430F8" w:rsidP="000430F8">
      <w:pPr>
        <w:widowControl/>
        <w:shd w:val="clear" w:color="auto" w:fill="F8F8F8"/>
        <w:rPr>
          <w:rFonts w:ascii="微软雅黑" w:eastAsia="微软雅黑" w:hAnsi="微软雅黑" w:cs="宋体" w:hint="eastAsia"/>
          <w:color w:val="4A4A4A"/>
          <w:kern w:val="0"/>
          <w:sz w:val="24"/>
          <w:szCs w:val="24"/>
        </w:rPr>
      </w:pPr>
      <w:r w:rsidRPr="000430F8">
        <w:rPr>
          <w:rFonts w:ascii="微软雅黑" w:eastAsia="微软雅黑" w:hAnsi="微软雅黑" w:cs="宋体" w:hint="eastAsia"/>
          <w:color w:val="4A4A4A"/>
          <w:kern w:val="0"/>
          <w:sz w:val="24"/>
          <w:szCs w:val="24"/>
        </w:rPr>
        <w:t xml:space="preserve">　　债券发行人</w:t>
      </w:r>
      <w:hyperlink r:id="rId15" w:tgtFrame="_blank" w:history="1">
        <w:r w:rsidRPr="000430F8">
          <w:rPr>
            <w:rFonts w:ascii="微软雅黑" w:eastAsia="微软雅黑" w:hAnsi="微软雅黑" w:cs="宋体" w:hint="eastAsia"/>
            <w:color w:val="336699"/>
            <w:kern w:val="0"/>
            <w:sz w:val="24"/>
            <w:szCs w:val="24"/>
          </w:rPr>
          <w:t>国广控股</w:t>
        </w:r>
      </w:hyperlink>
      <w:r w:rsidRPr="000430F8">
        <w:rPr>
          <w:rFonts w:ascii="微软雅黑" w:eastAsia="微软雅黑" w:hAnsi="微软雅黑" w:cs="宋体" w:hint="eastAsia"/>
          <w:color w:val="4A4A4A"/>
          <w:kern w:val="0"/>
          <w:sz w:val="24"/>
          <w:szCs w:val="24"/>
        </w:rPr>
        <w:t>为</w:t>
      </w:r>
      <w:hyperlink r:id="rId16" w:tgtFrame="_blank" w:history="1">
        <w:r w:rsidRPr="000430F8">
          <w:rPr>
            <w:rFonts w:ascii="微软雅黑" w:eastAsia="微软雅黑" w:hAnsi="微软雅黑" w:cs="宋体" w:hint="eastAsia"/>
            <w:color w:val="336699"/>
            <w:kern w:val="0"/>
            <w:sz w:val="24"/>
            <w:szCs w:val="24"/>
          </w:rPr>
          <w:t>华闻集团</w:t>
        </w:r>
      </w:hyperlink>
      <w:r w:rsidRPr="000430F8">
        <w:rPr>
          <w:rFonts w:ascii="微软雅黑" w:eastAsia="微软雅黑" w:hAnsi="微软雅黑" w:cs="宋体" w:hint="eastAsia"/>
          <w:color w:val="4A4A4A"/>
          <w:kern w:val="0"/>
          <w:sz w:val="24"/>
          <w:szCs w:val="24"/>
        </w:rPr>
        <w:t>实控方，欲对已展期</w:t>
      </w:r>
      <w:hyperlink r:id="rId17" w:tgtFrame="_blank" w:history="1">
        <w:r w:rsidRPr="000430F8">
          <w:rPr>
            <w:rFonts w:ascii="微软雅黑" w:eastAsia="微软雅黑" w:hAnsi="微软雅黑" w:cs="宋体" w:hint="eastAsia"/>
            <w:color w:val="336699"/>
            <w:kern w:val="0"/>
            <w:sz w:val="24"/>
            <w:szCs w:val="24"/>
          </w:rPr>
          <w:t>债券</w:t>
        </w:r>
      </w:hyperlink>
      <w:r w:rsidRPr="000430F8">
        <w:rPr>
          <w:rFonts w:ascii="微软雅黑" w:eastAsia="微软雅黑" w:hAnsi="微软雅黑" w:cs="宋体" w:hint="eastAsia"/>
          <w:color w:val="4A4A4A"/>
          <w:kern w:val="0"/>
          <w:sz w:val="24"/>
          <w:szCs w:val="24"/>
        </w:rPr>
        <w:t>打4折至5折兑付，远低市场预期</w:t>
      </w:r>
    </w:p>
    <w:p w:rsidR="000430F8" w:rsidRPr="000430F8" w:rsidRDefault="000430F8" w:rsidP="000430F8">
      <w:pPr>
        <w:widowControl/>
        <w:shd w:val="clear" w:color="auto" w:fill="F8F8F8"/>
        <w:rPr>
          <w:rFonts w:ascii="微软雅黑" w:eastAsia="微软雅黑" w:hAnsi="微软雅黑" w:cs="宋体" w:hint="eastAsia"/>
          <w:color w:val="4A4A4A"/>
          <w:kern w:val="0"/>
          <w:sz w:val="24"/>
          <w:szCs w:val="24"/>
        </w:rPr>
      </w:pPr>
      <w:r w:rsidRPr="000430F8">
        <w:rPr>
          <w:rFonts w:ascii="微软雅黑" w:eastAsia="微软雅黑" w:hAnsi="微软雅黑" w:cs="宋体" w:hint="eastAsia"/>
          <w:color w:val="4A4A4A"/>
          <w:kern w:val="0"/>
          <w:sz w:val="24"/>
          <w:szCs w:val="24"/>
        </w:rPr>
        <w:t xml:space="preserve">　　</w:t>
      </w:r>
      <w:hyperlink r:id="rId18" w:tgtFrame="_blank" w:history="1">
        <w:r w:rsidRPr="000430F8">
          <w:rPr>
            <w:rFonts w:ascii="微软雅黑" w:eastAsia="微软雅黑" w:hAnsi="微软雅黑" w:cs="宋体" w:hint="eastAsia"/>
            <w:color w:val="336699"/>
            <w:kern w:val="0"/>
            <w:sz w:val="24"/>
            <w:szCs w:val="24"/>
          </w:rPr>
          <w:t>灾难情形下的货币政策选择与特别国债发行【财新网】</w:t>
        </w:r>
      </w:hyperlink>
    </w:p>
    <w:p w:rsidR="000430F8" w:rsidRPr="000430F8" w:rsidRDefault="000430F8" w:rsidP="000430F8">
      <w:pPr>
        <w:widowControl/>
        <w:shd w:val="clear" w:color="auto" w:fill="F8F8F8"/>
        <w:rPr>
          <w:rFonts w:ascii="微软雅黑" w:eastAsia="微软雅黑" w:hAnsi="微软雅黑" w:cs="宋体" w:hint="eastAsia"/>
          <w:color w:val="4A4A4A"/>
          <w:kern w:val="0"/>
          <w:sz w:val="24"/>
          <w:szCs w:val="24"/>
        </w:rPr>
      </w:pPr>
      <w:r w:rsidRPr="000430F8">
        <w:rPr>
          <w:rFonts w:ascii="微软雅黑" w:eastAsia="微软雅黑" w:hAnsi="微软雅黑" w:cs="宋体" w:hint="eastAsia"/>
          <w:color w:val="4A4A4A"/>
          <w:kern w:val="0"/>
          <w:sz w:val="24"/>
          <w:szCs w:val="24"/>
        </w:rPr>
        <w:lastRenderedPageBreak/>
        <w:t xml:space="preserve">　　应发挥数量型货币政策防御优势，选择价格型工具需要稳健审慎，为政策调控留有余地；特别国债发行提高政策传导效率，应考虑货币政策和财政政策相互配合；借鉴巨灾债，建立市场防风险资金储备池</w:t>
      </w:r>
    </w:p>
    <w:p w:rsidR="000430F8" w:rsidRPr="000430F8" w:rsidRDefault="000430F8" w:rsidP="000430F8">
      <w:pPr>
        <w:widowControl/>
        <w:shd w:val="clear" w:color="auto" w:fill="F8F8F8"/>
        <w:rPr>
          <w:rFonts w:ascii="微软雅黑" w:eastAsia="微软雅黑" w:hAnsi="微软雅黑" w:cs="宋体" w:hint="eastAsia"/>
          <w:color w:val="4A4A4A"/>
          <w:kern w:val="0"/>
          <w:sz w:val="24"/>
          <w:szCs w:val="24"/>
        </w:rPr>
      </w:pPr>
      <w:r w:rsidRPr="000430F8">
        <w:rPr>
          <w:rFonts w:ascii="微软雅黑" w:eastAsia="微软雅黑" w:hAnsi="微软雅黑" w:cs="宋体" w:hint="eastAsia"/>
          <w:color w:val="4A4A4A"/>
          <w:kern w:val="0"/>
          <w:sz w:val="24"/>
          <w:szCs w:val="24"/>
        </w:rPr>
        <w:t xml:space="preserve">　　</w:t>
      </w:r>
      <w:hyperlink r:id="rId19" w:tgtFrame="_blank" w:history="1">
        <w:r w:rsidRPr="000430F8">
          <w:rPr>
            <w:rFonts w:ascii="微软雅黑" w:eastAsia="微软雅黑" w:hAnsi="微软雅黑" w:cs="宋体" w:hint="eastAsia"/>
            <w:color w:val="336699"/>
            <w:kern w:val="0"/>
            <w:sz w:val="24"/>
            <w:szCs w:val="24"/>
          </w:rPr>
          <w:t>海外风险短期冲击国内债市 长期仍具吸引力【财新网】</w:t>
        </w:r>
      </w:hyperlink>
    </w:p>
    <w:p w:rsidR="000430F8" w:rsidRPr="000430F8" w:rsidRDefault="000430F8" w:rsidP="000430F8">
      <w:pPr>
        <w:widowControl/>
        <w:shd w:val="clear" w:color="auto" w:fill="F8F8F8"/>
        <w:rPr>
          <w:rFonts w:ascii="微软雅黑" w:eastAsia="微软雅黑" w:hAnsi="微软雅黑" w:cs="宋体" w:hint="eastAsia"/>
          <w:color w:val="4A4A4A"/>
          <w:kern w:val="0"/>
          <w:sz w:val="24"/>
          <w:szCs w:val="24"/>
        </w:rPr>
      </w:pPr>
      <w:r w:rsidRPr="000430F8">
        <w:rPr>
          <w:rFonts w:ascii="微软雅黑" w:eastAsia="微软雅黑" w:hAnsi="微软雅黑" w:cs="宋体" w:hint="eastAsia"/>
          <w:color w:val="4A4A4A"/>
          <w:kern w:val="0"/>
          <w:sz w:val="24"/>
          <w:szCs w:val="24"/>
        </w:rPr>
        <w:t xml:space="preserve">　　疫情冲击之下全球货币宽松重启，待疫情稳定之后，宽松格局下的全球利率中枢下移和中美利差处于高位，中国债券相较于美债而言的高性价比将使得中国债券对外资具备长期的吸引力</w:t>
      </w:r>
    </w:p>
    <w:p w:rsidR="000430F8" w:rsidRPr="000430F8" w:rsidRDefault="000430F8" w:rsidP="000430F8">
      <w:pPr>
        <w:widowControl/>
        <w:shd w:val="clear" w:color="auto" w:fill="F8F8F8"/>
        <w:rPr>
          <w:rFonts w:ascii="微软雅黑" w:eastAsia="微软雅黑" w:hAnsi="微软雅黑" w:cs="宋体" w:hint="eastAsia"/>
          <w:color w:val="4A4A4A"/>
          <w:kern w:val="0"/>
          <w:sz w:val="24"/>
          <w:szCs w:val="24"/>
        </w:rPr>
      </w:pPr>
      <w:r w:rsidRPr="000430F8">
        <w:rPr>
          <w:rFonts w:ascii="微软雅黑" w:eastAsia="微软雅黑" w:hAnsi="微软雅黑" w:cs="宋体" w:hint="eastAsia"/>
          <w:color w:val="4A4A4A"/>
          <w:kern w:val="0"/>
          <w:sz w:val="24"/>
          <w:szCs w:val="24"/>
        </w:rPr>
        <w:t xml:space="preserve">　　</w:t>
      </w:r>
      <w:hyperlink r:id="rId20" w:tgtFrame="_blank" w:history="1">
        <w:r w:rsidRPr="000430F8">
          <w:rPr>
            <w:rFonts w:ascii="微软雅黑" w:eastAsia="微软雅黑" w:hAnsi="微软雅黑" w:cs="宋体" w:hint="eastAsia"/>
            <w:color w:val="336699"/>
            <w:kern w:val="0"/>
            <w:sz w:val="24"/>
            <w:szCs w:val="24"/>
          </w:rPr>
          <w:t>中国债市势创2008年来最强季【财新数据】</w:t>
        </w:r>
      </w:hyperlink>
    </w:p>
    <w:p w:rsidR="000430F8" w:rsidRPr="000430F8" w:rsidRDefault="000430F8" w:rsidP="000430F8">
      <w:pPr>
        <w:widowControl/>
        <w:shd w:val="clear" w:color="auto" w:fill="F8F8F8"/>
        <w:rPr>
          <w:rFonts w:ascii="微软雅黑" w:eastAsia="微软雅黑" w:hAnsi="微软雅黑" w:cs="宋体" w:hint="eastAsia"/>
          <w:color w:val="4A4A4A"/>
          <w:kern w:val="0"/>
          <w:sz w:val="24"/>
          <w:szCs w:val="24"/>
        </w:rPr>
      </w:pPr>
      <w:r w:rsidRPr="000430F8">
        <w:rPr>
          <w:rFonts w:ascii="微软雅黑" w:eastAsia="微软雅黑" w:hAnsi="微软雅黑" w:cs="宋体" w:hint="eastAsia"/>
          <w:color w:val="4A4A4A"/>
          <w:kern w:val="0"/>
          <w:sz w:val="24"/>
          <w:szCs w:val="24"/>
        </w:rPr>
        <w:t xml:space="preserve">　　中国顶尖债券基金经理警示，债市收益率之低已充分反映疫情影响，当前反而是增加股票仓位的好时机。</w:t>
      </w:r>
      <w:r w:rsidRPr="000430F8">
        <w:rPr>
          <w:rFonts w:ascii="微软雅黑" w:eastAsia="微软雅黑" w:hAnsi="微软雅黑" w:cs="宋体"/>
          <w:noProof/>
          <w:color w:val="336699"/>
          <w:kern w:val="0"/>
          <w:sz w:val="24"/>
          <w:szCs w:val="24"/>
        </w:rPr>
        <mc:AlternateContent>
          <mc:Choice Requires="wps">
            <w:drawing>
              <wp:inline distT="0" distB="0" distL="0" distR="0">
                <wp:extent cx="302895" cy="302895"/>
                <wp:effectExtent l="0" t="0" r="0" b="0"/>
                <wp:docPr id="5" name="矩形 5" descr="https://www.caixin.com/favicon.ico">
                  <a:hlinkClick xmlns:a="http://schemas.openxmlformats.org/drawingml/2006/main" r:id="rId21" tooltip="&quot;【债市周报】特别国债引发流动性担忧 货币政策仍有放松空间&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4AAE4" id="矩形 5" o:spid="_x0000_s1026" alt="https://www.caixin.com/favicon.ico" href="http://database.caixin.com/2020-03-31/101536756.html" title="&quot;【债市周报】特别国债引发流动性担忧 货币政策仍有放松空间&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" o:button="t" filled="f" stroked="f">
                <v:fill o:detectmouseclick="t"/>
                <o:lock v:ext="edit" aspectratio="t"/>
                <w10:anchorlock/>
              </v:rect>
            </w:pict>
          </mc:Fallback>
        </mc:AlternateContent>
      </w:r>
    </w:p>
    <w:p w:rsidR="000430F8" w:rsidRPr="000430F8" w:rsidRDefault="000430F8" w:rsidP="000430F8">
      <w:pPr>
        <w:rPr>
          <w:rFonts w:hint="eastAsia"/>
        </w:rPr>
      </w:pPr>
    </w:p>
    <w:sectPr w:rsidR="000430F8" w:rsidRPr="00043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978" w:rsidRDefault="00D90978" w:rsidP="000430F8">
      <w:r>
        <w:separator/>
      </w:r>
    </w:p>
  </w:endnote>
  <w:endnote w:type="continuationSeparator" w:id="0">
    <w:p w:rsidR="00D90978" w:rsidRDefault="00D90978" w:rsidP="00043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978" w:rsidRDefault="00D90978" w:rsidP="000430F8">
      <w:r>
        <w:separator/>
      </w:r>
    </w:p>
  </w:footnote>
  <w:footnote w:type="continuationSeparator" w:id="0">
    <w:p w:rsidR="00D90978" w:rsidRDefault="00D90978" w:rsidP="000430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0A2"/>
    <w:rsid w:val="000430F8"/>
    <w:rsid w:val="008030A2"/>
    <w:rsid w:val="008E1751"/>
    <w:rsid w:val="00D90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75738F-64BD-47B7-86AC-A8698577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430F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30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30F8"/>
    <w:rPr>
      <w:sz w:val="18"/>
      <w:szCs w:val="18"/>
    </w:rPr>
  </w:style>
  <w:style w:type="paragraph" w:styleId="a4">
    <w:name w:val="footer"/>
    <w:basedOn w:val="a"/>
    <w:link w:val="Char0"/>
    <w:uiPriority w:val="99"/>
    <w:unhideWhenUsed/>
    <w:rsid w:val="000430F8"/>
    <w:pPr>
      <w:tabs>
        <w:tab w:val="center" w:pos="4153"/>
        <w:tab w:val="right" w:pos="8306"/>
      </w:tabs>
      <w:snapToGrid w:val="0"/>
      <w:jc w:val="left"/>
    </w:pPr>
    <w:rPr>
      <w:sz w:val="18"/>
      <w:szCs w:val="18"/>
    </w:rPr>
  </w:style>
  <w:style w:type="character" w:customStyle="1" w:styleId="Char0">
    <w:name w:val="页脚 Char"/>
    <w:basedOn w:val="a0"/>
    <w:link w:val="a4"/>
    <w:uiPriority w:val="99"/>
    <w:rsid w:val="000430F8"/>
    <w:rPr>
      <w:sz w:val="18"/>
      <w:szCs w:val="18"/>
    </w:rPr>
  </w:style>
  <w:style w:type="paragraph" w:styleId="a5">
    <w:name w:val="Normal (Web)"/>
    <w:basedOn w:val="a"/>
    <w:uiPriority w:val="99"/>
    <w:semiHidden/>
    <w:unhideWhenUsed/>
    <w:rsid w:val="000430F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430F8"/>
    <w:rPr>
      <w:color w:val="0000FF"/>
      <w:u w:val="single"/>
    </w:rPr>
  </w:style>
  <w:style w:type="character" w:customStyle="1" w:styleId="1Char">
    <w:name w:val="标题 1 Char"/>
    <w:basedOn w:val="a0"/>
    <w:link w:val="1"/>
    <w:uiPriority w:val="9"/>
    <w:rsid w:val="000430F8"/>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170712">
      <w:bodyDiv w:val="1"/>
      <w:marLeft w:val="0"/>
      <w:marRight w:val="0"/>
      <w:marTop w:val="0"/>
      <w:marBottom w:val="0"/>
      <w:divBdr>
        <w:top w:val="none" w:sz="0" w:space="0" w:color="auto"/>
        <w:left w:val="none" w:sz="0" w:space="0" w:color="auto"/>
        <w:bottom w:val="none" w:sz="0" w:space="0" w:color="auto"/>
        <w:right w:val="none" w:sz="0" w:space="0" w:color="auto"/>
      </w:divBdr>
      <w:divsChild>
        <w:div w:id="1516967187">
          <w:marLeft w:val="0"/>
          <w:marRight w:val="0"/>
          <w:marTop w:val="0"/>
          <w:marBottom w:val="0"/>
          <w:divBdr>
            <w:top w:val="none" w:sz="0" w:space="0" w:color="auto"/>
            <w:left w:val="none" w:sz="0" w:space="0" w:color="auto"/>
            <w:bottom w:val="none" w:sz="0" w:space="0" w:color="auto"/>
            <w:right w:val="none" w:sz="0" w:space="0" w:color="auto"/>
          </w:divBdr>
        </w:div>
      </w:divsChild>
    </w:div>
    <w:div w:id="1206025444">
      <w:bodyDiv w:val="1"/>
      <w:marLeft w:val="0"/>
      <w:marRight w:val="0"/>
      <w:marTop w:val="0"/>
      <w:marBottom w:val="0"/>
      <w:divBdr>
        <w:top w:val="none" w:sz="0" w:space="0" w:color="auto"/>
        <w:left w:val="none" w:sz="0" w:space="0" w:color="auto"/>
        <w:bottom w:val="none" w:sz="0" w:space="0" w:color="auto"/>
        <w:right w:val="none" w:sz="0" w:space="0" w:color="auto"/>
      </w:divBdr>
    </w:div>
    <w:div w:id="2052146502">
      <w:bodyDiv w:val="1"/>
      <w:marLeft w:val="0"/>
      <w:marRight w:val="0"/>
      <w:marTop w:val="0"/>
      <w:marBottom w:val="0"/>
      <w:divBdr>
        <w:top w:val="none" w:sz="0" w:space="0" w:color="auto"/>
        <w:left w:val="none" w:sz="0" w:space="0" w:color="auto"/>
        <w:bottom w:val="none" w:sz="0" w:space="0" w:color="auto"/>
        <w:right w:val="none" w:sz="0" w:space="0" w:color="auto"/>
      </w:divBdr>
    </w:div>
    <w:div w:id="212279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ixin.com/hot/huataizhengquan.html" TargetMode="External"/><Relationship Id="rId13" Type="http://schemas.openxmlformats.org/officeDocument/2006/relationships/hyperlink" Target="http://search.caixin.com/search/%E5%AE%89%E5%BE%BD%E7%9C%81%E5%A4%96%E7%BB%8F%E5%BB%BA%E8%AE%BE%EF%BC%88%E9%9B%86%E5%9B%A2%EF%BC%89%E6%9C%89%E9%99%90%E5%85%AC%E5%8F%B8.html" TargetMode="External"/><Relationship Id="rId18" Type="http://schemas.openxmlformats.org/officeDocument/2006/relationships/hyperlink" Target="http://opinion.caixin.com/2020-03-30/101536217.html" TargetMode="External"/><Relationship Id="rId3" Type="http://schemas.openxmlformats.org/officeDocument/2006/relationships/webSettings" Target="webSettings.xml"/><Relationship Id="rId21" Type="http://schemas.openxmlformats.org/officeDocument/2006/relationships/hyperlink" Target="http://database.caixin.com/2020-03-31/101536756.html" TargetMode="External"/><Relationship Id="rId7" Type="http://schemas.openxmlformats.org/officeDocument/2006/relationships/hyperlink" Target="http://www.caixin.com/hot/huachuangzhengquan.html" TargetMode="External"/><Relationship Id="rId12" Type="http://schemas.openxmlformats.org/officeDocument/2006/relationships/image" Target="media/image4.jpeg"/><Relationship Id="rId17" Type="http://schemas.openxmlformats.org/officeDocument/2006/relationships/hyperlink" Target="http://www.caixin.com/hot/zhaiquan.html" TargetMode="External"/><Relationship Id="rId2" Type="http://schemas.openxmlformats.org/officeDocument/2006/relationships/settings" Target="settings.xml"/><Relationship Id="rId16" Type="http://schemas.openxmlformats.org/officeDocument/2006/relationships/hyperlink" Target="http://search.caixin.com/search/%E5%8D%8E%E9%97%BB%E9%9B%86%E5%9B%A2.html" TargetMode="External"/><Relationship Id="rId20" Type="http://schemas.openxmlformats.org/officeDocument/2006/relationships/hyperlink" Target="http://database.caixin.com/2020-03-27/101534603.html" TargetMode="External"/><Relationship Id="rId1" Type="http://schemas.openxmlformats.org/officeDocument/2006/relationships/styles" Target="styles.xml"/><Relationship Id="rId6" Type="http://schemas.openxmlformats.org/officeDocument/2006/relationships/hyperlink" Target="http://www.caixin.com/hot/zhaishi.html"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hyperlink" Target="http://www.caixin.com/hot/guoguangkonggu.htm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opinion.caixin.com/2020-03-27/101534716.html" TargetMode="Externa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finance.caixin.com/2020-03-30/101536243.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2020-09-25T08:14:00Z</dcterms:created>
  <dcterms:modified xsi:type="dcterms:W3CDTF">2020-09-25T08:19:00Z</dcterms:modified>
</cp:coreProperties>
</file>