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D2" w:rsidRPr="00F740D2" w:rsidRDefault="00F740D2" w:rsidP="00F740D2">
      <w:pPr>
        <w:widowControl/>
        <w:shd w:val="clear" w:color="auto" w:fill="F8F8F8"/>
        <w:spacing w:line="540" w:lineRule="atLeast"/>
        <w:jc w:val="center"/>
        <w:outlineLvl w:val="0"/>
        <w:rPr>
          <w:rFonts w:ascii="微软雅黑" w:eastAsia="微软雅黑" w:hAnsi="微软雅黑" w:cs="宋体"/>
          <w:color w:val="000000"/>
          <w:kern w:val="36"/>
          <w:sz w:val="42"/>
          <w:szCs w:val="42"/>
        </w:rPr>
      </w:pPr>
      <w:r w:rsidRPr="00F740D2">
        <w:rPr>
          <w:rFonts w:ascii="微软雅黑" w:eastAsia="微软雅黑" w:hAnsi="微软雅黑" w:cs="宋体" w:hint="eastAsia"/>
          <w:color w:val="000000"/>
          <w:kern w:val="36"/>
          <w:sz w:val="42"/>
          <w:szCs w:val="42"/>
        </w:rPr>
        <w:t>【债市周报】资金流动性充裕 海外疫情提振国内债市 </w:t>
      </w:r>
    </w:p>
    <w:p w:rsidR="00F740D2" w:rsidRPr="00F740D2" w:rsidRDefault="00F740D2" w:rsidP="00F740D2">
      <w:pPr>
        <w:widowControl/>
        <w:shd w:val="clear" w:color="auto" w:fill="F8F8F8"/>
        <w:spacing w:line="300" w:lineRule="atLeast"/>
        <w:jc w:val="center"/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</w:pPr>
      <w:r w:rsidRPr="00F740D2">
        <w:rPr>
          <w:rFonts w:ascii="微软雅黑" w:eastAsia="微软雅黑" w:hAnsi="微软雅黑" w:cs="宋体" w:hint="eastAsia"/>
          <w:color w:val="ADADAD"/>
          <w:kern w:val="0"/>
          <w:sz w:val="18"/>
          <w:szCs w:val="18"/>
        </w:rPr>
        <w:t>2020年03月03日 16:47 来源于 财新数据通</w:t>
      </w:r>
    </w:p>
    <w:p w:rsidR="00F740D2" w:rsidRPr="00F740D2" w:rsidRDefault="00F740D2" w:rsidP="00F740D2">
      <w:pPr>
        <w:widowControl/>
        <w:shd w:val="clear" w:color="auto" w:fill="F1F1F1"/>
        <w:spacing w:line="330" w:lineRule="atLeast"/>
        <w:jc w:val="left"/>
        <w:rPr>
          <w:rFonts w:ascii="微软雅黑" w:eastAsia="微软雅黑" w:hAnsi="微软雅黑" w:cs="宋体" w:hint="eastAsia"/>
          <w:color w:val="5C5C5C"/>
          <w:kern w:val="0"/>
          <w:szCs w:val="21"/>
        </w:rPr>
      </w:pPr>
      <w:r w:rsidRPr="00F740D2">
        <w:rPr>
          <w:rFonts w:ascii="微软雅黑" w:eastAsia="微软雅黑" w:hAnsi="微软雅黑" w:cs="宋体" w:hint="eastAsia"/>
          <w:color w:val="5C5C5C"/>
          <w:kern w:val="0"/>
          <w:szCs w:val="21"/>
        </w:rPr>
        <w:t>全球疫情发展受市场关注，当下全球债市普遍表现强劲，海外疫情提振国内债市。全球货币政策趋势如何？中美债市如何博弈？全球资产将如何配置？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>【财新数据专稿】</w:t>
      </w:r>
      <w:r>
        <w:rPr>
          <w:rFonts w:ascii="微软雅黑" w:eastAsia="微软雅黑" w:hAnsi="微软雅黑" w:hint="eastAsia"/>
          <w:color w:val="4A4A4A"/>
        </w:rPr>
        <w:t>（实习记者 封寒冰 记者牟雅菲）上周，国内资金略有紧缩，但总体流动性宽松政策不变。受疫情扩散影响，国内外货币政策有望做出积极反应。上周中国</w:t>
      </w:r>
      <w:hyperlink r:id="rId6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债市</w:t>
        </w:r>
      </w:hyperlink>
      <w:r>
        <w:rPr>
          <w:rFonts w:ascii="微软雅黑" w:eastAsia="微软雅黑" w:hAnsi="微软雅黑" w:hint="eastAsia"/>
          <w:color w:val="4A4A4A"/>
        </w:rPr>
        <w:t>收益率全线下行，对境外投资者吸引力持续上升。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</w:t>
      </w:r>
      <w:r>
        <w:rPr>
          <w:rFonts w:ascii="微软雅黑" w:eastAsia="微软雅黑" w:hAnsi="微软雅黑" w:hint="eastAsia"/>
          <w:b/>
          <w:bCs/>
          <w:color w:val="4A4A4A"/>
        </w:rPr>
        <w:t xml:space="preserve">　全球货币政策有望宽松 国内资金流动性充裕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上周，央行公开市场逆回购无投放，到期3000亿元，MLF无投放，无到期，净回笼资金3000亿元。货币市场资金利率小幅下行，R001均值上行5.51bp至1.59%，R007均值上行7.85bp至2.36%；DR001均值上行5.65bp至1.50%，DR007均值下行0.36bp至2.12%。MLF利率下调10BP，1年期LPR下调10BP，5年期LPR下调5BP。本周，央行公开市场无正回购、逆回购和央票等到期。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伴随全球疫情发展，机构认为全球范围的货币宽松政策有望实现。着眼国内货币市场，</w:t>
      </w:r>
      <w:hyperlink r:id="rId7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兴业研究</w:t>
        </w:r>
      </w:hyperlink>
      <w:r>
        <w:rPr>
          <w:rFonts w:ascii="微软雅黑" w:eastAsia="微软雅黑" w:hAnsi="微软雅黑" w:hint="eastAsia"/>
          <w:color w:val="4A4A4A"/>
        </w:rPr>
        <w:t>分析师认为，近期央行公开市场操作的净回笼不代表政策态度的变化，保持流动性宽松的方向并未变化。</w:t>
      </w:r>
      <w:hyperlink r:id="rId8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长城证券</w:t>
        </w:r>
      </w:hyperlink>
      <w:r>
        <w:rPr>
          <w:rFonts w:ascii="微软雅黑" w:eastAsia="微软雅黑" w:hAnsi="微软雅黑" w:hint="eastAsia"/>
          <w:color w:val="4A4A4A"/>
        </w:rPr>
        <w:t>认为，近两周央行在银行间实行资金净回笼，从量的调节转向价的调节，资金利率仍在相对低位，流动性相对充裕。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4A4A4A"/>
        </w:rPr>
        <w:t>海外疫情提振国内债市 收益率全线下行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lastRenderedPageBreak/>
        <w:t xml:space="preserve">　　上周，全球资本市场再度进入避险模式，各国股市普遍大幅下跌，而债市普遍表现强劲。基本面上，</w:t>
      </w:r>
      <w:hyperlink r:id="rId9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新时代证券</w:t>
        </w:r>
      </w:hyperlink>
      <w:r>
        <w:rPr>
          <w:rFonts w:ascii="微软雅黑" w:eastAsia="微软雅黑" w:hAnsi="微软雅黑" w:hint="eastAsia"/>
          <w:color w:val="4A4A4A"/>
        </w:rPr>
        <w:t>分析，一方面，海外新冠疫情的扩散呈现加速态势；另一方面，在美国总统大选民主党候选人初选中，以“打土豪，分田地”为标签的桑德斯异军突起，引发资本市场的不安。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多家机构预测，海外配债能力有望增强。兴业研究分析师认为，海外降息预期大幅上升，美国长债利率再创新低，020年美债利率下行幅度大于中国</w:t>
      </w:r>
      <w:hyperlink r:id="rId10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债券</w:t>
        </w:r>
      </w:hyperlink>
      <w:r>
        <w:rPr>
          <w:rFonts w:ascii="微软雅黑" w:eastAsia="微软雅黑" w:hAnsi="微软雅黑" w:hint="eastAsia"/>
          <w:color w:val="4A4A4A"/>
        </w:rPr>
        <w:t>，中美债券利差继续出现扩大迹象，考虑到人民币汇率稳定在7附近小幅波动，中国债券对境外投资者的吸引力持续上升。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11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申万宏源</w:t>
        </w:r>
      </w:hyperlink>
      <w:r>
        <w:rPr>
          <w:rFonts w:ascii="微软雅黑" w:eastAsia="微软雅黑" w:hAnsi="微软雅黑" w:hint="eastAsia"/>
          <w:color w:val="4A4A4A"/>
        </w:rPr>
        <w:t>表示，当前风险偏好、货币政策及基本面等对债市的利好仍在，海外方面，疫情影响对风险偏好的影响开始显现，但当前核心还是海外经济偏弱走势。市场修正对国内经济偏乐观预期+海外经济下行+通胀下行+风险偏好下行+货币政策宽松，将推动收益率下行，这一阶段将持续到5月初。</w:t>
      </w:r>
      <w:hyperlink r:id="rId12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西部证券</w:t>
        </w:r>
      </w:hyperlink>
      <w:r>
        <w:rPr>
          <w:rFonts w:ascii="微软雅黑" w:eastAsia="微软雅黑" w:hAnsi="微软雅黑" w:hint="eastAsia"/>
          <w:color w:val="4A4A4A"/>
        </w:rPr>
        <w:t>同样认为，随着经济下行现实的逐渐显现，叠加海外风险预期的不断发酵，短期内全球权益资产波动预计会维持高位，防御资产如黄金和债市仍有机会受到海外经济下行的提振，总体资产配置以防御为主。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 xml:space="preserve">　　利率债市场情况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上周（2月24日-3月1日）国债、地方政府债、政策性金融债共发行104只，发行总额4188.12亿元，环比增加1569.82亿元。</w:t>
      </w:r>
    </w:p>
    <w:p w:rsidR="007A0419" w:rsidRDefault="007A0419" w:rsidP="007A0419">
      <w:r>
        <w:rPr>
          <w:rFonts w:hint="eastAsia"/>
          <w:noProof/>
        </w:rPr>
        <w:lastRenderedPageBreak/>
        <w:drawing>
          <wp:inline distT="0" distB="0" distL="0" distR="0">
            <wp:extent cx="5274310" cy="3509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322435671048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国债收益率全线下行，国开债利率长端下行。上周五（2月28日），1年期国债收益率为1.93%，下行0.18BP；10年期国债收益率报2.74%，下行10.94BP；1年期国开债收益率报2.15%，上行1.19BP；10年期国开债收益率报3.20%，下行7.38BP。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r>
        <w:rPr>
          <w:rFonts w:ascii="微软雅黑" w:eastAsia="微软雅黑" w:hAnsi="微软雅黑" w:hint="eastAsia"/>
          <w:b/>
          <w:bCs/>
          <w:color w:val="4A4A4A"/>
        </w:rPr>
        <w:t>信用债市场情况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上周（2月24日-3月1日）共发行1191只信用债，发行总额8279.89亿元，环比增加564.69亿元</w:t>
      </w:r>
    </w:p>
    <w:p w:rsidR="007A0419" w:rsidRP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上周信用债市场收益率全线下行，1年期各评级收益率下行9bp；3年期各评级收益率下行4-5bp；5年期限AA+评级收益率下行7-10bp。</w:t>
      </w:r>
    </w:p>
    <w:p w:rsidR="007A0419" w:rsidRDefault="007A0419" w:rsidP="007A0419">
      <w:r>
        <w:rPr>
          <w:rFonts w:hint="eastAsia"/>
          <w:noProof/>
        </w:rPr>
        <w:lastRenderedPageBreak/>
        <w:drawing>
          <wp:inline distT="0" distB="0" distL="0" distR="0">
            <wp:extent cx="5274310" cy="3509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322517498672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>主体评级调整和违约债券统计</w:t>
      </w:r>
    </w:p>
    <w:p w:rsidR="007A0419" w:rsidRP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上周（2月24日-3月1日）有1家企业主体评级被上调，有1家企业主体评级被下调。</w:t>
      </w:r>
    </w:p>
    <w:p w:rsidR="007A0419" w:rsidRDefault="007A0419" w:rsidP="007A0419">
      <w:r>
        <w:rPr>
          <w:rFonts w:hint="eastAsia"/>
          <w:noProof/>
        </w:rPr>
        <w:drawing>
          <wp:inline distT="0" distB="0" distL="0" distR="0">
            <wp:extent cx="5274310" cy="1398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322454388656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398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8322488836516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/>
          <w:color w:val="4A4A4A"/>
        </w:rPr>
      </w:pPr>
      <w:r>
        <w:rPr>
          <w:rFonts w:ascii="微软雅黑" w:eastAsia="微软雅黑" w:hAnsi="微软雅黑" w:hint="eastAsia"/>
          <w:b/>
          <w:bCs/>
          <w:color w:val="4A4A4A"/>
        </w:rPr>
        <w:t>债市要闻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17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 前两月新增专项债发行近万亿元 三分之二投向基建</w:t>
        </w:r>
      </w:hyperlink>
      <w:r>
        <w:rPr>
          <w:rFonts w:ascii="微软雅黑" w:eastAsia="微软雅黑" w:hAnsi="微软雅黑" w:hint="eastAsia"/>
          <w:color w:val="4A4A4A"/>
        </w:rPr>
        <w:t>【财新网】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lastRenderedPageBreak/>
        <w:t xml:space="preserve">　　作为积极财政政策的重要工具之一，今年以来地方政府专项债券发行进度大幅提前，1-2月已完成提前下达新增专项债额度的73.6%。其中，约67%流向基建领域。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18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 最弱PMI出炉之际中国力推债券发行注册制 借宽信用之力缓经济下行之压</w:t>
        </w:r>
      </w:hyperlink>
      <w:r>
        <w:rPr>
          <w:rFonts w:ascii="微软雅黑" w:eastAsia="微软雅黑" w:hAnsi="微软雅黑" w:hint="eastAsia"/>
          <w:color w:val="4A4A4A"/>
        </w:rPr>
        <w:t>【财新数据】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国家发改委、证监会发文通知，3月1日新证券法生效后，中国公司债公开发行实行注册制，企业债发行也由核准制改为注册制；同时，改革后的发行条件删除了“累计债券余额不超过公司净资产的百分之四十”等限制条件。多位市场人士认为，此举有望助推信用债供给提升，改善实体经济融资环境。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19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 注册制、取消净资产限制 新《证券法》对债市影响几何？</w:t>
        </w:r>
      </w:hyperlink>
      <w:r>
        <w:rPr>
          <w:rFonts w:ascii="微软雅黑" w:eastAsia="微软雅黑" w:hAnsi="微软雅黑" w:hint="eastAsia"/>
          <w:color w:val="4A4A4A"/>
        </w:rPr>
        <w:t>【财新网】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新《证券法》于3月1日正式实施，备受关注的是公司债、企业债发行全面实行注册制。但业内人士认为，影响更大的在于取消公开市场发债余额不得超过净资产40%的要求。然而，新《证券法》仍未纳入占债券市场90%以上的银行间债券市场，意味着债券市场统一监管未来还有很大的改革空间。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20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 新《证券法》系列报道之五|是否覆盖银行间债市【</w:t>
        </w:r>
      </w:hyperlink>
      <w:r>
        <w:rPr>
          <w:rFonts w:ascii="微软雅黑" w:eastAsia="微软雅黑" w:hAnsi="微软雅黑" w:hint="eastAsia"/>
          <w:color w:val="4A4A4A"/>
        </w:rPr>
        <w:t>财新网】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新《证券法》与2月29日深夜国务院《关于贯彻实施修订后的证券法有关工作的通知》（下称《通知》）中均没有涉及银行间债券市场，但作为债券市场中最重要的一部分，是否适用《证券法》呢？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</w:t>
      </w:r>
      <w:hyperlink r:id="rId21" w:tgtFrame="_blank" w:history="1">
        <w:r>
          <w:rPr>
            <w:rStyle w:val="a7"/>
            <w:rFonts w:ascii="微软雅黑" w:eastAsia="微软雅黑" w:hAnsi="微软雅黑" w:hint="eastAsia"/>
            <w:color w:val="336699"/>
          </w:rPr>
          <w:t> 股债汇齐涨 境内疫情受控显示中国资产避险潜力</w:t>
        </w:r>
      </w:hyperlink>
      <w:r>
        <w:rPr>
          <w:rFonts w:ascii="微软雅黑" w:eastAsia="微软雅黑" w:hAnsi="微软雅黑" w:hint="eastAsia"/>
          <w:color w:val="4A4A4A"/>
        </w:rPr>
        <w:t>【财新数据】</w:t>
      </w:r>
    </w:p>
    <w:p w:rsidR="00F740D2" w:rsidRDefault="00F740D2" w:rsidP="00F740D2">
      <w:pPr>
        <w:pStyle w:val="a6"/>
        <w:shd w:val="clear" w:color="auto" w:fill="F8F8F8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4A4A4A"/>
        </w:rPr>
      </w:pPr>
      <w:r>
        <w:rPr>
          <w:rFonts w:ascii="微软雅黑" w:eastAsia="微软雅黑" w:hAnsi="微软雅黑" w:hint="eastAsia"/>
          <w:color w:val="4A4A4A"/>
        </w:rPr>
        <w:t xml:space="preserve">　　新冠疫情在中国境外呈现局部爆发之势，拖累全球风险资产遭到抛售，但是作为疫情中心的中国抗疫形势则在向好，人民币资产也逐渐表现出韧性的一面。</w:t>
      </w:r>
    </w:p>
    <w:p w:rsidR="007A0419" w:rsidRPr="00F740D2" w:rsidRDefault="007A0419" w:rsidP="007A0419">
      <w:pPr>
        <w:rPr>
          <w:rFonts w:hint="eastAsia"/>
        </w:rPr>
      </w:pPr>
      <w:bookmarkStart w:id="0" w:name="_GoBack"/>
      <w:bookmarkEnd w:id="0"/>
    </w:p>
    <w:sectPr w:rsidR="007A0419" w:rsidRPr="00F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4D5" w:rsidRDefault="00B134D5" w:rsidP="007A0419">
      <w:r>
        <w:separator/>
      </w:r>
    </w:p>
  </w:endnote>
  <w:endnote w:type="continuationSeparator" w:id="0">
    <w:p w:rsidR="00B134D5" w:rsidRDefault="00B134D5" w:rsidP="007A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4D5" w:rsidRDefault="00B134D5" w:rsidP="007A0419">
      <w:r>
        <w:separator/>
      </w:r>
    </w:p>
  </w:footnote>
  <w:footnote w:type="continuationSeparator" w:id="0">
    <w:p w:rsidR="00B134D5" w:rsidRDefault="00B134D5" w:rsidP="007A0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01"/>
    <w:rsid w:val="007A0419"/>
    <w:rsid w:val="008E1751"/>
    <w:rsid w:val="00B134D5"/>
    <w:rsid w:val="00B92101"/>
    <w:rsid w:val="00BD5173"/>
    <w:rsid w:val="00F7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645B9D-D144-447B-BE92-080FD3C9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40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41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A04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A041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40D2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F740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74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caixin.com/search/%E9%95%BF%E5%9F%8E%E8%AF%81%E5%88%B8.html" TargetMode="External"/><Relationship Id="rId13" Type="http://schemas.openxmlformats.org/officeDocument/2006/relationships/image" Target="media/image1.jpg"/><Relationship Id="rId18" Type="http://schemas.openxmlformats.org/officeDocument/2006/relationships/hyperlink" Target="http://database.caixin.com/2020-03-02/10152278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atabase.caixin.com/2020-03-02/101522773.html" TargetMode="External"/><Relationship Id="rId7" Type="http://schemas.openxmlformats.org/officeDocument/2006/relationships/hyperlink" Target="http://search.caixin.com/search/%E5%85%B4%E4%B8%9A%E7%A0%94%E7%A9%B6.html" TargetMode="External"/><Relationship Id="rId12" Type="http://schemas.openxmlformats.org/officeDocument/2006/relationships/hyperlink" Target="http://search.caixin.com/search/%E8%A5%BF%E9%83%A8%E8%AF%81%E5%88%B8.html" TargetMode="External"/><Relationship Id="rId17" Type="http://schemas.openxmlformats.org/officeDocument/2006/relationships/hyperlink" Target="http://economy.caixin.com/2020-03-02/101522894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hyperlink" Target="http://finance.caixin.com/2020-03-02/101522758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earch.caixin.com/search/%E5%80%BA%E5%B8%82.html" TargetMode="External"/><Relationship Id="rId11" Type="http://schemas.openxmlformats.org/officeDocument/2006/relationships/hyperlink" Target="http://search.caixin.com/search/%E7%94%B3%E4%B8%87%E5%AE%8F%E6%BA%90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0" Type="http://schemas.openxmlformats.org/officeDocument/2006/relationships/hyperlink" Target="http://search.caixin.com/search/%E5%80%BA%E5%88%B8.html" TargetMode="External"/><Relationship Id="rId19" Type="http://schemas.openxmlformats.org/officeDocument/2006/relationships/hyperlink" Target="http://finance.caixin.com/2020-03-02/10152278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earch.caixin.com/search/%E6%96%B0%E6%97%B6%E4%BB%A3%E8%AF%81%E5%88%B8.html" TargetMode="External"/><Relationship Id="rId14" Type="http://schemas.openxmlformats.org/officeDocument/2006/relationships/image" Target="media/image2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2020-09-25T08:04:00Z</dcterms:created>
  <dcterms:modified xsi:type="dcterms:W3CDTF">2020-09-25T08:24:00Z</dcterms:modified>
</cp:coreProperties>
</file>