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62" w:rsidRPr="00C45E62" w:rsidRDefault="00C45E62" w:rsidP="00C45E62">
      <w:pPr>
        <w:widowControl/>
        <w:shd w:val="clear" w:color="auto" w:fill="F8F8F8"/>
        <w:spacing w:line="54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C45E62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【债市周报】资金面持续宽松 新冠疫情成债市主线</w:t>
      </w:r>
    </w:p>
    <w:p w:rsidR="00C45E62" w:rsidRDefault="00C45E62" w:rsidP="00C45E62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/>
          <w:color w:val="ADADAD"/>
          <w:kern w:val="0"/>
          <w:sz w:val="18"/>
          <w:szCs w:val="18"/>
        </w:rPr>
      </w:pPr>
      <w:r w:rsidRPr="00C45E62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2020年02月04日 16:37 来源于 财新数据通</w:t>
      </w:r>
    </w:p>
    <w:p w:rsidR="00C45E62" w:rsidRPr="00C45E62" w:rsidRDefault="00C45E62" w:rsidP="00C45E62">
      <w:pPr>
        <w:widowControl/>
        <w:shd w:val="clear" w:color="auto" w:fill="F8F8F8"/>
        <w:spacing w:line="300" w:lineRule="atLeast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>链接</w:t>
      </w:r>
      <w:r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：</w:t>
      </w:r>
      <w:hyperlink r:id="rId6" w:history="1">
        <w:r w:rsidRPr="003E13AB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http://database.caixin.com/2020-02-04/101511446.html</w:t>
        </w:r>
      </w:hyperlink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 xml:space="preserve"> </w:t>
      </w:r>
    </w:p>
    <w:p w:rsidR="00C45E62" w:rsidRPr="00C45E62" w:rsidRDefault="00C45E62" w:rsidP="00C45E62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C45E62">
        <w:rPr>
          <w:rFonts w:ascii="微软雅黑" w:eastAsia="微软雅黑" w:hAnsi="微软雅黑" w:cs="宋体" w:hint="eastAsia"/>
          <w:color w:val="5C5C5C"/>
          <w:kern w:val="0"/>
          <w:szCs w:val="21"/>
        </w:rPr>
        <w:t>经济企稳进程受新冠肺炎疫情影响，货币与流动性宽松期限随之延长。当前多重因素利好债市，避险情绪大幅升温，经济预期走向悲观，降息预期明显增加，债市收益率可能降至近几年低点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</w:t>
      </w:r>
      <w:r>
        <w:rPr>
          <w:rFonts w:ascii="微软雅黑" w:eastAsia="微软雅黑" w:hAnsi="微软雅黑" w:hint="eastAsia"/>
          <w:b/>
          <w:bCs/>
          <w:color w:val="4A4A4A"/>
        </w:rPr>
        <w:t>【财新数据专稿】（实习记者 封寒冰 记者 牟雅菲）</w:t>
      </w:r>
      <w:r>
        <w:rPr>
          <w:rFonts w:ascii="微软雅黑" w:eastAsia="微软雅黑" w:hAnsi="微软雅黑" w:hint="eastAsia"/>
          <w:color w:val="4A4A4A"/>
        </w:rPr>
        <w:t>春节前最后一周，央行投放大笔逆回购，市场资金面持续宽松。节前一周，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债市</w:t>
        </w:r>
      </w:hyperlink>
      <w:r>
        <w:rPr>
          <w:rFonts w:ascii="微软雅黑" w:eastAsia="微软雅黑" w:hAnsi="微软雅黑" w:hint="eastAsia"/>
          <w:color w:val="4A4A4A"/>
        </w:rPr>
        <w:t>整体向好；节后债市延续行情，新冠疫情成为债市主线，债市利率存在进一步下行空间。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 xml:space="preserve">　　央行释放万亿流动性 资金面持续宽松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前一周（2020年1月19日至1月23日）央行逆回购投放5800亿元，TMLF投放2405亿元，TMLF到期2575亿元，公开市场净投放5630亿元。R001均值下行45bp至2.15%，R007均值下行37bp至2.66%。DR001均值下行42bp至2.06%，DR007均值下行7bp至2.58%。1月以来，央行为对冲专项债供给压力以及税期压力明显加大流动性投放，全月累计投放1.7万亿元，累计回笼8575亿元，实现净投放8630亿元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本周，公开市场将有1.18万亿逆回购集中到期。2月3日，央行以利率招标方式开展了1.2万亿元逆回购操作。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招商证券</w:t>
        </w:r>
      </w:hyperlink>
      <w:r>
        <w:rPr>
          <w:rFonts w:ascii="微软雅黑" w:eastAsia="微软雅黑" w:hAnsi="微软雅黑" w:hint="eastAsia"/>
          <w:color w:val="4A4A4A"/>
        </w:rPr>
        <w:t>此前分析，2019年以来，货币政策重心在于疏通传导机制促进实体经济降成本，同时维持平稳宽松的流动性环境，以配合财政政策发力稳增长。前期数据反映宏观经济已有企稳迹象，而在近</w:t>
      </w:r>
      <w:r>
        <w:rPr>
          <w:rFonts w:ascii="微软雅黑" w:eastAsia="微软雅黑" w:hAnsi="微软雅黑" w:hint="eastAsia"/>
          <w:color w:val="4A4A4A"/>
        </w:rPr>
        <w:lastRenderedPageBreak/>
        <w:t>日“新冠肺炎”疫情冲击下，宏观经济企稳进程有中断风险，受此影响，货币与流动性宽松期限或将随之延长。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节后货币政策已明确“保持流动性合理充裕，加大货币信贷支持力度”，但机构就未来短期是否降息产生分歧。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新时代证券</w:t>
        </w:r>
      </w:hyperlink>
      <w:r>
        <w:rPr>
          <w:rFonts w:ascii="微软雅黑" w:eastAsia="微软雅黑" w:hAnsi="微软雅黑" w:hint="eastAsia"/>
          <w:color w:val="4A4A4A"/>
        </w:rPr>
        <w:t>认为，未来物价不必忧虑，货币政策可保持相对激进，可考虑尽快降息、降准。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海通证券</w:t>
        </w:r>
      </w:hyperlink>
      <w:r>
        <w:rPr>
          <w:rFonts w:ascii="微软雅黑" w:eastAsia="微软雅黑" w:hAnsi="微软雅黑" w:hint="eastAsia"/>
          <w:color w:val="4A4A4A"/>
        </w:rPr>
        <w:t>预计，货币政策有望从“灵活适度”转向适度宽松。考虑到短期通胀还在高位，预计央行或将阶段性小幅降息，如降低7天逆回购招标利率、下调MLF利率、对疫情严重地区定向降准降息等，从而推动LPR下降，降低社会融资成本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江海证券</w:t>
        </w:r>
      </w:hyperlink>
      <w:r>
        <w:rPr>
          <w:rFonts w:ascii="微软雅黑" w:eastAsia="微软雅黑" w:hAnsi="微软雅黑" w:hint="eastAsia"/>
          <w:color w:val="4A4A4A"/>
        </w:rPr>
        <w:t>则认为，当前已有不少银行主动下调了疫情严重地区的企业的贷款利率，这时是否有必要进一步出台全局的降息存在不确定性。而且，2月2日央行公告称2月3日央行将释放流动性1.2万亿，这里没有提到降准，说明在流动性上，央行更倾向采取短期工具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节后债市向好 利率下行明确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后债市将延续节前行情，短端利率下行已成机构共识；但对于长端利率下行，机构持不同观点。年前债市最后一周走强，1月21日，新冠肺炎疫情开始受市场广泛关注，此后3个交易日内，十年国债和十年国开债收益率分别下行8BP和11BP，其中十年国债收益率在春节前已经突破3%的关键阻力位。新时代证券判断，节后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债券</w:t>
        </w:r>
      </w:hyperlink>
      <w:r>
        <w:rPr>
          <w:rFonts w:ascii="微软雅黑" w:eastAsia="微软雅黑" w:hAnsi="微软雅黑" w:hint="eastAsia"/>
          <w:color w:val="4A4A4A"/>
        </w:rPr>
        <w:t>收益率应会出现快速下行，幅度上利率债&gt;城投债&gt;与疫情相关度偏低的产业债&gt;与疫情相关度偏高的产业债。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光大证券</w:t>
        </w:r>
      </w:hyperlink>
      <w:r>
        <w:rPr>
          <w:rFonts w:ascii="微软雅黑" w:eastAsia="微软雅黑" w:hAnsi="微软雅黑" w:hint="eastAsia"/>
          <w:color w:val="4A4A4A"/>
        </w:rPr>
        <w:t>维持疫情之前的判断，认为2020年10Y国债仍将在2.95%-3.35%区间震荡，估值中枢为3.15%，即难以明显下行又难以明显上行。招商证券则认为，前期长端利率受基本面改善信号约束下行迟缓，收益率曲线已呈现“陡峭化”</w:t>
      </w:r>
      <w:r>
        <w:rPr>
          <w:rFonts w:ascii="微软雅黑" w:eastAsia="微软雅黑" w:hAnsi="微软雅黑" w:hint="eastAsia"/>
          <w:color w:val="4A4A4A"/>
        </w:rPr>
        <w:lastRenderedPageBreak/>
        <w:t>特征，国债10Y-1Y期限利差接近“概率区间”上限，疫情短期显著打破长端利率下行约束，开盘后可能快速补涨。如疫情在春节返程高峰过后得到有效控制，则行情可能以“一次性补涨”形式快速完成，幅度上在2.8%附近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同时，多家机构提醒疫情过去，经济反弹可期，应注意债市风险。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华创证券</w:t>
        </w:r>
      </w:hyperlink>
      <w:r>
        <w:rPr>
          <w:rFonts w:ascii="微软雅黑" w:eastAsia="微软雅黑" w:hAnsi="微软雅黑" w:hint="eastAsia"/>
          <w:color w:val="4A4A4A"/>
        </w:rPr>
        <w:t>认为，若疫情出现拐点，市场避险情绪得到有效修复，同时伴随着前期被抑制消费的反弹及投资、生产的复工加速可能会使得经济数据较疫情阶段出现明显反弹。海通证券展望全年，认为二季度以后若疫情将得到有效控制，债市将重回基本面与政策面的博弈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 xml:space="preserve">　　利率债市场情况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节前一周（1月20日-1月23日）地方政府债、政策性金融债共发行59只，发行总额1514.87亿元，较上期（1月13日当周）减少5197.11亿元。</w:t>
      </w:r>
    </w:p>
    <w:p w:rsidR="008E1751" w:rsidRDefault="00C45E62">
      <w:r>
        <w:rPr>
          <w:noProof/>
        </w:rPr>
        <w:drawing>
          <wp:inline distT="0" distB="0" distL="0" distR="0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lastRenderedPageBreak/>
        <w:t xml:space="preserve">　　节前一周，1年期国债收于2.18%，较前一周下行8BP；10年期国债收于2.99%，较前一周下行9BP。1年期国开债收于2.39%，较前一周下行1BP；10年期国开债收于3.41%，较前一周下行12BP。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信用债市场情况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节前一周（1月20日-1月23日）共发行492只信用债，发行总额4100.27亿元，较上期（1月13日当周）减少2900.33亿元。</w:t>
      </w:r>
    </w:p>
    <w:p w:rsidR="00C45E62" w:rsidRDefault="00C45E62">
      <w:r>
        <w:rPr>
          <w:rFonts w:hint="eastAsia"/>
          <w:noProof/>
        </w:rPr>
        <w:drawing>
          <wp:inline distT="0" distB="0" distL="0" distR="0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节前一周信用债市场收益率整体下行，AAA级企业债、AA级企业债以及城投债收益率均平均下行3BP。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主体评级调整和违约债券统计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节前一周（1月20日-1月23日）有1家企业主体评级被上调，有4家企业主体评级被下调。</w:t>
      </w:r>
    </w:p>
    <w:p w:rsidR="00C45E62" w:rsidRDefault="00C45E62">
      <w:r>
        <w:rPr>
          <w:rFonts w:hint="eastAsia"/>
          <w:noProof/>
        </w:rPr>
        <w:lastRenderedPageBreak/>
        <w:drawing>
          <wp:inline distT="0" distB="0" distL="0" distR="0">
            <wp:extent cx="5274310" cy="139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62" w:rsidRDefault="00C45E62">
      <w:pPr>
        <w:rPr>
          <w:rFonts w:ascii="微软雅黑" w:eastAsia="微软雅黑" w:hAnsi="微软雅黑"/>
          <w:color w:val="4A4A4A"/>
          <w:shd w:val="clear" w:color="auto" w:fill="F8F8F8"/>
        </w:rPr>
      </w:pPr>
      <w:r>
        <w:rPr>
          <w:rFonts w:ascii="微软雅黑" w:eastAsia="微软雅黑" w:hAnsi="微软雅黑" w:hint="eastAsia"/>
          <w:color w:val="4A4A4A"/>
          <w:shd w:val="clear" w:color="auto" w:fill="F8F8F8"/>
        </w:rPr>
        <w:t xml:space="preserve">　节前一周和节后共有两只信用债发生违约。</w:t>
      </w:r>
    </w:p>
    <w:p w:rsidR="00C45E62" w:rsidRDefault="00C45E62">
      <w:r>
        <w:rPr>
          <w:rFonts w:hint="eastAsia"/>
          <w:noProof/>
        </w:rPr>
        <w:drawing>
          <wp:inline distT="0" distB="0" distL="0" distR="0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 xml:space="preserve">　债市要闻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央行据悉已就TMLF询量 春节流动性“大礼包”或有望持续放送【财新数据】</w:t>
        </w:r>
      </w:hyperlink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受持续净投放呵护，国债期现货近期表现良好。本周四将有2575亿元到期，交易员称，中国央行近日已就TMLF需求向部分银行询量。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利率债光环褪去 债券基金热捧“固收+”博取股市红利【财新数据】</w:t>
        </w:r>
      </w:hyperlink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随着无风险利率下滑见底，信用市场分化加剧，传统债券收益率中枢一路下行，债市躺着赚钱的时代一去不复返。这倒逼着固收基金经理开始越来越多地关注含权类债券产品，包括可转债及可交债。</w:t>
      </w:r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21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农历新年到来前 海航有5亿美元债券到期【财新数据】</w:t>
        </w:r>
      </w:hyperlink>
    </w:p>
    <w:p w:rsidR="00C45E62" w:rsidRDefault="00C45E62" w:rsidP="00C45E6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海航集团国际发行的一笔2亿美元债券将在1月23日到期，然后还将有3亿美元票据于次日到期。</w:t>
      </w:r>
    </w:p>
    <w:p w:rsidR="00C45E62" w:rsidRPr="00C45E62" w:rsidRDefault="00C45E62">
      <w:pPr>
        <w:rPr>
          <w:rFonts w:hint="eastAsia"/>
        </w:rPr>
      </w:pPr>
      <w:bookmarkStart w:id="0" w:name="_GoBack"/>
      <w:bookmarkEnd w:id="0"/>
    </w:p>
    <w:sectPr w:rsidR="00C45E62" w:rsidRPr="00C4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AB" w:rsidRDefault="004756AB" w:rsidP="00C45E62">
      <w:r>
        <w:separator/>
      </w:r>
    </w:p>
  </w:endnote>
  <w:endnote w:type="continuationSeparator" w:id="0">
    <w:p w:rsidR="004756AB" w:rsidRDefault="004756AB" w:rsidP="00C4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AB" w:rsidRDefault="004756AB" w:rsidP="00C45E62">
      <w:r>
        <w:separator/>
      </w:r>
    </w:p>
  </w:footnote>
  <w:footnote w:type="continuationSeparator" w:id="0">
    <w:p w:rsidR="004756AB" w:rsidRDefault="004756AB" w:rsidP="00C45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73"/>
    <w:rsid w:val="004756AB"/>
    <w:rsid w:val="006A7673"/>
    <w:rsid w:val="008E1751"/>
    <w:rsid w:val="00C4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271E6-98FD-4984-9B0E-3E7C5591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E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E6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45E6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45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caixin.com/search/%E6%8B%9B%E5%95%86%E8%AF%81%E5%88%B8.html" TargetMode="External"/><Relationship Id="rId13" Type="http://schemas.openxmlformats.org/officeDocument/2006/relationships/hyperlink" Target="http://search.caixin.com/search/%E5%85%89%E5%A4%A7%E8%AF%81%E5%88%B8.html" TargetMode="External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hyperlink" Target="http://database.caixin.com/2020-01-23/101507693.html" TargetMode="External"/><Relationship Id="rId7" Type="http://schemas.openxmlformats.org/officeDocument/2006/relationships/hyperlink" Target="http://search.caixin.com/search/%E5%80%BA%E5%B8%82.html" TargetMode="External"/><Relationship Id="rId12" Type="http://schemas.openxmlformats.org/officeDocument/2006/relationships/hyperlink" Target="http://search.caixin.com/search/%E5%80%BA%E5%88%B8.html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hyperlink" Target="http://database.caixin.com/2020-01-20/10150645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base.caixin.com/2020-02-04/101511446.html" TargetMode="External"/><Relationship Id="rId11" Type="http://schemas.openxmlformats.org/officeDocument/2006/relationships/hyperlink" Target="http://search.caixin.com/search/%E6%B1%9F%E6%B5%B7%E8%AF%81%E5%88%B8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g"/><Relationship Id="rId23" Type="http://schemas.openxmlformats.org/officeDocument/2006/relationships/theme" Target="theme/theme1.xml"/><Relationship Id="rId10" Type="http://schemas.openxmlformats.org/officeDocument/2006/relationships/hyperlink" Target="http://search.caixin.com/search/%E6%B5%B7%E9%80%9A%E8%AF%81%E5%88%B8.html" TargetMode="External"/><Relationship Id="rId19" Type="http://schemas.openxmlformats.org/officeDocument/2006/relationships/hyperlink" Target="http://database.caixin.com/2020-01-21/10150682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caixin.com/search/%E6%96%B0%E6%97%B6%E4%BB%A3%E8%AF%81%E5%88%B8.html" TargetMode="External"/><Relationship Id="rId14" Type="http://schemas.openxmlformats.org/officeDocument/2006/relationships/hyperlink" Target="http://search.caixin.com/search/%E5%8D%8E%E5%88%9B%E8%AF%81%E5%88%B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2020-09-25T11:55:00Z</dcterms:created>
  <dcterms:modified xsi:type="dcterms:W3CDTF">2020-09-25T11:57:00Z</dcterms:modified>
</cp:coreProperties>
</file>