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37" w:rsidRPr="00F31337" w:rsidRDefault="00F31337" w:rsidP="00F31337">
      <w:pPr>
        <w:widowControl/>
        <w:shd w:val="clear" w:color="auto" w:fill="F8F8F8"/>
        <w:spacing w:line="540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F31337">
        <w:rPr>
          <w:rFonts w:ascii="微软雅黑" w:eastAsia="微软雅黑" w:hAnsi="微软雅黑" w:cs="宋体" w:hint="eastAsia"/>
          <w:color w:val="000000"/>
          <w:kern w:val="36"/>
          <w:sz w:val="36"/>
          <w:szCs w:val="42"/>
        </w:rPr>
        <w:t>科创板新股现首日破发 破发比例将成关键指标</w:t>
      </w:r>
      <w:r w:rsidRPr="00F31337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 </w:t>
      </w:r>
    </w:p>
    <w:p w:rsidR="00F31337" w:rsidRPr="00F31337" w:rsidRDefault="00F31337" w:rsidP="00F31337">
      <w:pPr>
        <w:widowControl/>
        <w:shd w:val="clear" w:color="auto" w:fill="F8F8F8"/>
        <w:spacing w:line="300" w:lineRule="atLeast"/>
        <w:jc w:val="center"/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</w:pPr>
      <w:r w:rsidRPr="00F31337"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2019年12月05日 09:50 来源于 </w:t>
      </w:r>
      <w:hyperlink r:id="rId6" w:tgtFrame="_blank" w:history="1">
        <w:r w:rsidRPr="00F31337">
          <w:rPr>
            <w:rFonts w:ascii="微软雅黑" w:eastAsia="微软雅黑" w:hAnsi="微软雅黑" w:cs="宋体" w:hint="eastAsia"/>
            <w:color w:val="1F286F"/>
            <w:kern w:val="0"/>
            <w:sz w:val="18"/>
            <w:szCs w:val="18"/>
            <w:u w:val="single"/>
          </w:rPr>
          <w:t>财新网</w:t>
        </w:r>
      </w:hyperlink>
    </w:p>
    <w:p w:rsidR="00F31337" w:rsidRPr="00F31337" w:rsidRDefault="00F31337" w:rsidP="00F31337">
      <w:pPr>
        <w:widowControl/>
        <w:shd w:val="clear" w:color="auto" w:fill="F1F1F1"/>
        <w:spacing w:line="330" w:lineRule="atLeast"/>
        <w:jc w:val="left"/>
        <w:rPr>
          <w:rFonts w:ascii="微软雅黑" w:eastAsia="微软雅黑" w:hAnsi="微软雅黑" w:cs="宋体" w:hint="eastAsia"/>
          <w:color w:val="5C5C5C"/>
          <w:kern w:val="0"/>
          <w:szCs w:val="21"/>
        </w:rPr>
      </w:pPr>
      <w:r w:rsidRPr="00F31337">
        <w:rPr>
          <w:rFonts w:ascii="微软雅黑" w:eastAsia="微软雅黑" w:hAnsi="微软雅黑" w:cs="宋体" w:hint="eastAsia"/>
          <w:color w:val="5C5C5C"/>
          <w:kern w:val="0"/>
          <w:szCs w:val="21"/>
        </w:rPr>
        <w:t>建龙微纳开盘三分钟后跌</w:t>
      </w:r>
      <w:bookmarkStart w:id="0" w:name="_GoBack"/>
      <w:bookmarkEnd w:id="0"/>
      <w:r w:rsidRPr="00F31337">
        <w:rPr>
          <w:rFonts w:ascii="微软雅黑" w:eastAsia="微软雅黑" w:hAnsi="微软雅黑" w:cs="宋体" w:hint="eastAsia"/>
          <w:color w:val="5C5C5C"/>
          <w:kern w:val="0"/>
          <w:szCs w:val="21"/>
        </w:rPr>
        <w:t>破发行价，成为首只首日便破发的个股。截至12月4日，60家科创板上市企业中已有10只个股出现过破发。下一步破发比例将成为市场整体定价能力的考察指标</w:t>
      </w:r>
    </w:p>
    <w:p w:rsidR="00B35437" w:rsidRDefault="00F31337" w:rsidP="00F31337">
      <w:r>
        <w:rPr>
          <w:noProof/>
        </w:rPr>
        <w:drawing>
          <wp:inline distT="0" distB="0" distL="0" distR="0">
            <wp:extent cx="3545404" cy="2363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3114916610831_480_3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93" cy="23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【财新网】（实习记者 封寒冰 记者 张榆）</w:t>
      </w:r>
      <w:hyperlink r:id="rId8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建龙微纳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9" w:history="1">
        <w:r>
          <w:rPr>
            <w:rStyle w:val="a6"/>
            <w:rFonts w:ascii="微软雅黑" w:eastAsia="微软雅黑" w:hAnsi="微软雅黑" w:hint="eastAsia"/>
            <w:color w:val="336699"/>
          </w:rPr>
          <w:t> 688357.SH </w:t>
        </w:r>
      </w:hyperlink>
      <w:r>
        <w:rPr>
          <w:rFonts w:ascii="微软雅黑" w:eastAsia="微软雅黑" w:hAnsi="微软雅黑" w:hint="eastAsia"/>
          <w:color w:val="4A4A4A"/>
        </w:rPr>
        <w:t>）成为科创板首只上市首日破发个股。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12月4日，科创板再迎两只新股，但首日走势分化严重。其中，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普元信息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11" w:history="1">
        <w:r>
          <w:rPr>
            <w:rStyle w:val="a6"/>
            <w:rFonts w:ascii="微软雅黑" w:eastAsia="微软雅黑" w:hAnsi="微软雅黑" w:hint="eastAsia"/>
            <w:color w:val="336699"/>
          </w:rPr>
          <w:t> 688118.SH </w:t>
        </w:r>
      </w:hyperlink>
      <w:r>
        <w:rPr>
          <w:rFonts w:ascii="微软雅黑" w:eastAsia="微软雅黑" w:hAnsi="微软雅黑" w:hint="eastAsia"/>
          <w:color w:val="4A4A4A"/>
        </w:rPr>
        <w:t>）发行价格为26.9元，开盘上涨并保持走势，最终收报43.25元，上涨幅度达60.78%。而建龙微纳开盘微涨后便出现破发，开盘三分钟后股价报42.10元，跌破43.28元的发行价，跌幅达2.73%，成为科创板首只上市首日即破发的新股。股价随后继续走低，最低下探至41.68元；截至收盘，该股报42.35元，跌幅约2.15%。12月5日，建龙微纳开盘后继续下行，截至发稿下跌超过2%，报41.40元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公开资料显示，建龙微纳全称洛阳建龙微纳新材料股份有限公司，主要产品为成型分子筛、分子筛原粉、分子筛活化粉三大类分子筛系列产品，广泛应用于</w:t>
      </w:r>
      <w:r>
        <w:rPr>
          <w:rFonts w:ascii="微软雅黑" w:eastAsia="微软雅黑" w:hAnsi="微软雅黑" w:hint="eastAsia"/>
          <w:color w:val="4A4A4A"/>
        </w:rPr>
        <w:lastRenderedPageBreak/>
        <w:t>制氧、制氢、吸附干燥、尾气脱硝等领域，是该领域第一家登陆科创板的新材料分子筛类企业。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2018年，公司实现营收3.78亿元，同比增54.7%，净利润0.47亿元，实现扭亏为盈。从营业收入的增幅来看，表现尚可。2016年至2019年上半年，公司主营业务收入分别为1.30亿元、2.44亿元、3.78亿元和2.16亿元，2016年至2018年复合增长率达到70.56%。</w:t>
      </w:r>
      <w:hyperlink r:id="rId12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华鑫证券</w:t>
        </w:r>
      </w:hyperlink>
      <w:r>
        <w:rPr>
          <w:rFonts w:ascii="微软雅黑" w:eastAsia="微软雅黑" w:hAnsi="微软雅黑" w:hint="eastAsia"/>
          <w:color w:val="4A4A4A"/>
        </w:rPr>
        <w:t>研报预测，伴随募投项目的建设推进，建龙微纳2019年至2021年实现营业收入将分别达到4.57亿元、5.35亿元、6.95亿元。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建龙微纳发行市盈率为53.16倍，不过</w:t>
      </w:r>
      <w:hyperlink r:id="rId13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华泰证券</w:t>
        </w:r>
      </w:hyperlink>
      <w:r>
        <w:rPr>
          <w:rFonts w:ascii="微软雅黑" w:eastAsia="微软雅黑" w:hAnsi="微软雅黑" w:hint="eastAsia"/>
          <w:color w:val="4A4A4A"/>
        </w:rPr>
        <w:t>在5月的一份研究报告中在</w:t>
      </w:r>
      <w:hyperlink r:id="rId14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A股</w:t>
        </w:r>
      </w:hyperlink>
      <w:r>
        <w:rPr>
          <w:rFonts w:ascii="微软雅黑" w:eastAsia="微软雅黑" w:hAnsi="微软雅黑" w:hint="eastAsia"/>
          <w:color w:val="4A4A4A"/>
        </w:rPr>
        <w:t>上市公司中选取了3家与建龙微纳业务具有一定相似性的公司，分别为</w:t>
      </w:r>
      <w:hyperlink r:id="rId15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万润股份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16" w:history="1">
        <w:r>
          <w:rPr>
            <w:rStyle w:val="a6"/>
            <w:rFonts w:ascii="微软雅黑" w:eastAsia="微软雅黑" w:hAnsi="微软雅黑" w:hint="eastAsia"/>
            <w:color w:val="336699"/>
          </w:rPr>
          <w:t> 002643.SZ </w:t>
        </w:r>
      </w:hyperlink>
      <w:r>
        <w:rPr>
          <w:rFonts w:ascii="微软雅黑" w:eastAsia="微软雅黑" w:hAnsi="微软雅黑" w:hint="eastAsia"/>
          <w:color w:val="4A4A4A"/>
        </w:rPr>
        <w:t>，液晶及 OLED 材料，尾气催化材料）、</w:t>
      </w:r>
      <w:hyperlink r:id="rId17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国瓷材料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18" w:history="1">
        <w:r>
          <w:rPr>
            <w:rStyle w:val="a6"/>
            <w:rFonts w:ascii="微软雅黑" w:eastAsia="微软雅黑" w:hAnsi="微软雅黑" w:hint="eastAsia"/>
            <w:color w:val="336699"/>
          </w:rPr>
          <w:t> 300285.SZ </w:t>
        </w:r>
      </w:hyperlink>
      <w:r>
        <w:rPr>
          <w:rFonts w:ascii="微软雅黑" w:eastAsia="微软雅黑" w:hAnsi="微软雅黑" w:hint="eastAsia"/>
          <w:color w:val="4A4A4A"/>
        </w:rPr>
        <w:t>，MLCC、蜂窝陶瓷、氧化锆等）、</w:t>
      </w:r>
      <w:hyperlink r:id="rId19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道氏技术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20" w:history="1">
        <w:r>
          <w:rPr>
            <w:rStyle w:val="a6"/>
            <w:rFonts w:ascii="微软雅黑" w:eastAsia="微软雅黑" w:hAnsi="微软雅黑" w:hint="eastAsia"/>
            <w:color w:val="336699"/>
          </w:rPr>
          <w:t> 300409.SZ </w:t>
        </w:r>
      </w:hyperlink>
      <w:r>
        <w:rPr>
          <w:rFonts w:ascii="微软雅黑" w:eastAsia="微软雅黑" w:hAnsi="微软雅黑" w:hint="eastAsia"/>
          <w:color w:val="4A4A4A"/>
        </w:rPr>
        <w:t>，三元前驱体、陶瓷墨水、釉料），上述公司2019-2021年的平均PE分别为21、17、15 倍。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首日破发或将促进市场估值和定价回归理性。</w:t>
      </w:r>
      <w:hyperlink r:id="rId21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星石投资</w:t>
        </w:r>
      </w:hyperlink>
      <w:r>
        <w:rPr>
          <w:rFonts w:ascii="微软雅黑" w:eastAsia="微软雅黑" w:hAnsi="微软雅黑" w:hint="eastAsia"/>
          <w:color w:val="4A4A4A"/>
        </w:rPr>
        <w:t>此前曾对财新记者表示，科创板新股供给显著增加，稀缺性的减弱，或许是出现新股破发的直接原因；另一方面，新股发行市盈率突破23倍限制，或许更加接近企业的真实价值。但同时，有基本面支撑的个股在破发后仍会有上涨动力。</w:t>
      </w:r>
      <w:hyperlink r:id="rId22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广发证券</w:t>
        </w:r>
      </w:hyperlink>
      <w:r>
        <w:rPr>
          <w:rFonts w:ascii="微软雅黑" w:eastAsia="微软雅黑" w:hAnsi="微软雅黑" w:hint="eastAsia"/>
          <w:color w:val="4A4A4A"/>
        </w:rPr>
        <w:t>策略团队表示，创业板历史52家首日破发新股90日后收益率为正的个股概率为33%，最高收益率接近50%。（详见财新网“</w:t>
      </w:r>
      <w:hyperlink r:id="rId23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多只科创板个股破发 机构现谨慎态度</w:t>
        </w:r>
      </w:hyperlink>
      <w:r>
        <w:rPr>
          <w:rFonts w:ascii="微软雅黑" w:eastAsia="微软雅黑" w:hAnsi="微软雅黑" w:hint="eastAsia"/>
          <w:color w:val="4A4A4A"/>
        </w:rPr>
        <w:t>”）。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除建龙微纳破发外，科创板已有多只个股出现破发。前一日即12月3日上市的</w:t>
      </w:r>
      <w:hyperlink r:id="rId24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祥生医疗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25" w:history="1">
        <w:r>
          <w:rPr>
            <w:rStyle w:val="a6"/>
            <w:rFonts w:ascii="微软雅黑" w:eastAsia="微软雅黑" w:hAnsi="微软雅黑" w:hint="eastAsia"/>
            <w:color w:val="336699"/>
          </w:rPr>
          <w:t> 688358.SH </w:t>
        </w:r>
      </w:hyperlink>
      <w:r>
        <w:rPr>
          <w:rFonts w:ascii="微软雅黑" w:eastAsia="微软雅黑" w:hAnsi="微软雅黑" w:hint="eastAsia"/>
          <w:color w:val="4A4A4A"/>
        </w:rPr>
        <w:t>）于开盘次日破发，成为科创板新股次日破发第一</w:t>
      </w:r>
      <w:r>
        <w:rPr>
          <w:rFonts w:ascii="微软雅黑" w:eastAsia="微软雅黑" w:hAnsi="微软雅黑" w:hint="eastAsia"/>
          <w:color w:val="4A4A4A"/>
        </w:rPr>
        <w:lastRenderedPageBreak/>
        <w:t>股。该股首日微涨2.04%，但12月4日从前一日的51.56元下跌至45.17元，跌幅达12.39%。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截至12月4日收盘，科创板已有</w:t>
      </w:r>
      <w:hyperlink r:id="rId26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容百科技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27" w:history="1">
        <w:r>
          <w:rPr>
            <w:rStyle w:val="a6"/>
            <w:rFonts w:ascii="微软雅黑" w:eastAsia="微软雅黑" w:hAnsi="微软雅黑" w:hint="eastAsia"/>
            <w:color w:val="336699"/>
          </w:rPr>
          <w:t> 688005.SH </w:t>
        </w:r>
      </w:hyperlink>
      <w:r>
        <w:rPr>
          <w:rFonts w:ascii="微软雅黑" w:eastAsia="微软雅黑" w:hAnsi="微软雅黑" w:hint="eastAsia"/>
          <w:color w:val="4A4A4A"/>
        </w:rPr>
        <w:t>）、</w:t>
      </w:r>
      <w:hyperlink r:id="rId28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久日新材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29" w:history="1">
        <w:r>
          <w:rPr>
            <w:rStyle w:val="a6"/>
            <w:rFonts w:ascii="微软雅黑" w:eastAsia="微软雅黑" w:hAnsi="微软雅黑" w:hint="eastAsia"/>
            <w:color w:val="336699"/>
          </w:rPr>
          <w:t> 688199.SH </w:t>
        </w:r>
      </w:hyperlink>
      <w:r>
        <w:rPr>
          <w:rFonts w:ascii="微软雅黑" w:eastAsia="微软雅黑" w:hAnsi="微软雅黑" w:hint="eastAsia"/>
          <w:color w:val="4A4A4A"/>
        </w:rPr>
        <w:t>）、</w:t>
      </w:r>
      <w:hyperlink r:id="rId30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卓越新能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31" w:history="1">
        <w:r>
          <w:rPr>
            <w:rStyle w:val="a6"/>
            <w:rFonts w:ascii="微软雅黑" w:eastAsia="微软雅黑" w:hAnsi="微软雅黑" w:hint="eastAsia"/>
            <w:color w:val="336699"/>
          </w:rPr>
          <w:t> 688196.SH </w:t>
        </w:r>
      </w:hyperlink>
      <w:r>
        <w:rPr>
          <w:rFonts w:ascii="微软雅黑" w:eastAsia="微软雅黑" w:hAnsi="微软雅黑" w:hint="eastAsia"/>
          <w:color w:val="4A4A4A"/>
        </w:rPr>
        <w:t>）、</w:t>
      </w:r>
      <w:hyperlink r:id="rId32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杰普特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33" w:history="1">
        <w:r>
          <w:rPr>
            <w:rStyle w:val="a6"/>
            <w:rFonts w:ascii="微软雅黑" w:eastAsia="微软雅黑" w:hAnsi="微软雅黑" w:hint="eastAsia"/>
            <w:color w:val="336699"/>
          </w:rPr>
          <w:t> 688025.SH </w:t>
        </w:r>
      </w:hyperlink>
      <w:r>
        <w:rPr>
          <w:rFonts w:ascii="微软雅黑" w:eastAsia="微软雅黑" w:hAnsi="微软雅黑" w:hint="eastAsia"/>
          <w:color w:val="4A4A4A"/>
        </w:rPr>
        <w:t>）、</w:t>
      </w:r>
      <w:hyperlink r:id="rId34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昊海生科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35" w:history="1">
        <w:r>
          <w:rPr>
            <w:rStyle w:val="a6"/>
            <w:rFonts w:ascii="微软雅黑" w:eastAsia="微软雅黑" w:hAnsi="微软雅黑" w:hint="eastAsia"/>
            <w:color w:val="336699"/>
          </w:rPr>
          <w:t> 688366.SH </w:t>
        </w:r>
      </w:hyperlink>
      <w:r>
        <w:rPr>
          <w:rFonts w:ascii="微软雅黑" w:eastAsia="微软雅黑" w:hAnsi="微软雅黑" w:hint="eastAsia"/>
          <w:color w:val="4A4A4A"/>
        </w:rPr>
        <w:t>）、</w:t>
      </w:r>
      <w:hyperlink r:id="rId36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天准科技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37" w:history="1">
        <w:r>
          <w:rPr>
            <w:rStyle w:val="a6"/>
            <w:rFonts w:ascii="微软雅黑" w:eastAsia="微软雅黑" w:hAnsi="微软雅黑" w:hint="eastAsia"/>
            <w:color w:val="336699"/>
          </w:rPr>
          <w:t> 688003.SH </w:t>
        </w:r>
      </w:hyperlink>
      <w:r>
        <w:rPr>
          <w:rFonts w:ascii="微软雅黑" w:eastAsia="微软雅黑" w:hAnsi="微软雅黑" w:hint="eastAsia"/>
          <w:color w:val="4A4A4A"/>
        </w:rPr>
        <w:t>）、</w:t>
      </w:r>
      <w:hyperlink r:id="rId38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中国电研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39" w:history="1">
        <w:r>
          <w:rPr>
            <w:rStyle w:val="a6"/>
            <w:rFonts w:ascii="微软雅黑" w:eastAsia="微软雅黑" w:hAnsi="微软雅黑" w:hint="eastAsia"/>
            <w:color w:val="336699"/>
          </w:rPr>
          <w:t> 688128.SH </w:t>
        </w:r>
      </w:hyperlink>
      <w:r>
        <w:rPr>
          <w:rFonts w:ascii="微软雅黑" w:eastAsia="微软雅黑" w:hAnsi="微软雅黑" w:hint="eastAsia"/>
          <w:color w:val="4A4A4A"/>
        </w:rPr>
        <w:t>）、</w:t>
      </w:r>
      <w:hyperlink r:id="rId40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新光光电</w:t>
        </w:r>
      </w:hyperlink>
      <w:r>
        <w:rPr>
          <w:rFonts w:ascii="微软雅黑" w:eastAsia="微软雅黑" w:hAnsi="微软雅黑" w:hint="eastAsia"/>
          <w:color w:val="4A4A4A"/>
        </w:rPr>
        <w:t>（</w:t>
      </w:r>
      <w:hyperlink r:id="rId41" w:history="1">
        <w:r>
          <w:rPr>
            <w:rStyle w:val="a6"/>
            <w:rFonts w:ascii="微软雅黑" w:eastAsia="微软雅黑" w:hAnsi="微软雅黑" w:hint="eastAsia"/>
            <w:color w:val="336699"/>
          </w:rPr>
          <w:t> 688011.SH </w:t>
        </w:r>
      </w:hyperlink>
      <w:r>
        <w:rPr>
          <w:rFonts w:ascii="微软雅黑" w:eastAsia="微软雅黑" w:hAnsi="微软雅黑" w:hint="eastAsia"/>
          <w:color w:val="4A4A4A"/>
        </w:rPr>
        <w:t>）等8家企业破发。加上建龙微纳和祥生医疗，目前科创板60家上市企业10家破发，破发概率为16.7%。</w:t>
      </w:r>
    </w:p>
    <w:p w:rsidR="00F31337" w:rsidRDefault="00F31337" w:rsidP="00F31337">
      <w:pPr>
        <w:pStyle w:val="a7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相比科创板个股涨跌，市场后期将考验的是破发比例。一位接近交易所的人士曾对财新记者表示，“市场化定价意味着一定有破发的可能，但最终呈现的是一个比例的问题，如果最终破发居多、上涨居少，那就说明一级市场定价没有定对。”（详见《财新周刊》2019年第29期封面报道|“</w:t>
      </w:r>
      <w:hyperlink r:id="rId42" w:tgtFrame="_blank" w:history="1">
        <w:r>
          <w:rPr>
            <w:rStyle w:val="a6"/>
            <w:rFonts w:ascii="微软雅黑" w:eastAsia="微软雅黑" w:hAnsi="微软雅黑" w:hint="eastAsia"/>
            <w:color w:val="336699"/>
          </w:rPr>
          <w:t>科创板试验田</w:t>
        </w:r>
      </w:hyperlink>
      <w:r>
        <w:rPr>
          <w:rFonts w:ascii="微软雅黑" w:eastAsia="微软雅黑" w:hAnsi="微软雅黑" w:hint="eastAsia"/>
          <w:color w:val="4A4A4A"/>
        </w:rPr>
        <w:t>”）。</w:t>
      </w:r>
    </w:p>
    <w:p w:rsidR="00F31337" w:rsidRPr="00F31337" w:rsidRDefault="00F31337" w:rsidP="00F31337">
      <w:pPr>
        <w:rPr>
          <w:rFonts w:hint="eastAsia"/>
        </w:rPr>
      </w:pPr>
    </w:p>
    <w:sectPr w:rsidR="00F31337" w:rsidRPr="00F3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B68" w:rsidRDefault="00F34B68" w:rsidP="00B35437">
      <w:r>
        <w:separator/>
      </w:r>
    </w:p>
  </w:endnote>
  <w:endnote w:type="continuationSeparator" w:id="0">
    <w:p w:rsidR="00F34B68" w:rsidRDefault="00F34B68" w:rsidP="00B3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B68" w:rsidRDefault="00F34B68" w:rsidP="00B35437">
      <w:r>
        <w:separator/>
      </w:r>
    </w:p>
  </w:footnote>
  <w:footnote w:type="continuationSeparator" w:id="0">
    <w:p w:rsidR="00F34B68" w:rsidRDefault="00F34B68" w:rsidP="00B35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04"/>
    <w:rsid w:val="000E2D88"/>
    <w:rsid w:val="008E1751"/>
    <w:rsid w:val="00B11B04"/>
    <w:rsid w:val="00B35437"/>
    <w:rsid w:val="00DC6015"/>
    <w:rsid w:val="00F31337"/>
    <w:rsid w:val="00F3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C63C02-2A22-4D34-A5C8-59F5BD29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5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4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54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4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4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54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5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54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54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B354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543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3133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3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aixin.com/hot/huataizhengquan.html" TargetMode="External"/><Relationship Id="rId18" Type="http://schemas.openxmlformats.org/officeDocument/2006/relationships/hyperlink" Target="http://finance.caixin.com/2019-12-05/300285.SZ" TargetMode="External"/><Relationship Id="rId26" Type="http://schemas.openxmlformats.org/officeDocument/2006/relationships/hyperlink" Target="http://www.caixin.com/hot/rongbaikeji.html" TargetMode="External"/><Relationship Id="rId39" Type="http://schemas.openxmlformats.org/officeDocument/2006/relationships/hyperlink" Target="http://finance.caixin.com/2019-12-05/688128.SH" TargetMode="External"/><Relationship Id="rId21" Type="http://schemas.openxmlformats.org/officeDocument/2006/relationships/hyperlink" Target="http://www.caixin.com/hot/xingshitouzi.html" TargetMode="External"/><Relationship Id="rId34" Type="http://schemas.openxmlformats.org/officeDocument/2006/relationships/hyperlink" Target="http://search.caixin.com/search/%E6%98%8A%E6%B5%B7%E7%94%9F%E7%A7%91.html" TargetMode="External"/><Relationship Id="rId42" Type="http://schemas.openxmlformats.org/officeDocument/2006/relationships/hyperlink" Target="http://weekly.caixin.com/2019-07-26/101444123.html" TargetMode="Externa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://finance.caixin.com/2019-12-05/002643.SZ" TargetMode="External"/><Relationship Id="rId20" Type="http://schemas.openxmlformats.org/officeDocument/2006/relationships/hyperlink" Target="http://finance.caixin.com/2019-12-05/300409.SZ" TargetMode="External"/><Relationship Id="rId29" Type="http://schemas.openxmlformats.org/officeDocument/2006/relationships/hyperlink" Target="http://finance.caixin.com/2019-12-05/688199.SH" TargetMode="External"/><Relationship Id="rId41" Type="http://schemas.openxmlformats.org/officeDocument/2006/relationships/hyperlink" Target="http://finance.caixin.com/2019-12-05/688011.SH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ixin.com/" TargetMode="External"/><Relationship Id="rId11" Type="http://schemas.openxmlformats.org/officeDocument/2006/relationships/hyperlink" Target="http://finance.caixin.com/2019-12-05/688118.SH" TargetMode="External"/><Relationship Id="rId24" Type="http://schemas.openxmlformats.org/officeDocument/2006/relationships/hyperlink" Target="http://search.caixin.com/search/%E7%A5%A5%E7%94%9F%E5%8C%BB%E7%96%97.html" TargetMode="External"/><Relationship Id="rId32" Type="http://schemas.openxmlformats.org/officeDocument/2006/relationships/hyperlink" Target="http://www.caixin.com/hot/jiepute.html" TargetMode="External"/><Relationship Id="rId37" Type="http://schemas.openxmlformats.org/officeDocument/2006/relationships/hyperlink" Target="http://finance.caixin.com/2019-12-05/688003.SH" TargetMode="External"/><Relationship Id="rId40" Type="http://schemas.openxmlformats.org/officeDocument/2006/relationships/hyperlink" Target="http://search.caixin.com/search/%E6%96%B0%E5%85%89%E5%85%89%E7%94%B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aixin.com/hot/wanrungufen.html" TargetMode="External"/><Relationship Id="rId23" Type="http://schemas.openxmlformats.org/officeDocument/2006/relationships/hyperlink" Target="http://finance.caixin.com/2019-11-13/101482735.html" TargetMode="External"/><Relationship Id="rId28" Type="http://schemas.openxmlformats.org/officeDocument/2006/relationships/hyperlink" Target="http://www.caixin.com/hot/jiurixincai.html" TargetMode="External"/><Relationship Id="rId36" Type="http://schemas.openxmlformats.org/officeDocument/2006/relationships/hyperlink" Target="http://search.caixin.com/search/%E5%A4%A9%E5%87%86%E7%A7%91%E6%8A%80.html" TargetMode="External"/><Relationship Id="rId10" Type="http://schemas.openxmlformats.org/officeDocument/2006/relationships/hyperlink" Target="http://search.caixin.com/search/%E6%99%AE%E5%85%83%E4%BF%A1%E6%81%AF.html" TargetMode="External"/><Relationship Id="rId19" Type="http://schemas.openxmlformats.org/officeDocument/2006/relationships/hyperlink" Target="http://www.caixin.com/hot/daoshijishu.html" TargetMode="External"/><Relationship Id="rId31" Type="http://schemas.openxmlformats.org/officeDocument/2006/relationships/hyperlink" Target="http://finance.caixin.com/2019-12-05/688196.SH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finance.caixin.com/2019-12-05/688357.SH" TargetMode="External"/><Relationship Id="rId14" Type="http://schemas.openxmlformats.org/officeDocument/2006/relationships/hyperlink" Target="http://search.caixin.com/search/A%E8%82%A1.html" TargetMode="External"/><Relationship Id="rId22" Type="http://schemas.openxmlformats.org/officeDocument/2006/relationships/hyperlink" Target="http://www.caixin.com/hot/guangfazhengquan.html" TargetMode="External"/><Relationship Id="rId27" Type="http://schemas.openxmlformats.org/officeDocument/2006/relationships/hyperlink" Target="http://finance.caixin.com/2019-12-05/688005.SH" TargetMode="External"/><Relationship Id="rId30" Type="http://schemas.openxmlformats.org/officeDocument/2006/relationships/hyperlink" Target="http://search.caixin.com/search/%E5%8D%93%E8%B6%8A%E6%96%B0%E8%83%BD.html" TargetMode="External"/><Relationship Id="rId35" Type="http://schemas.openxmlformats.org/officeDocument/2006/relationships/hyperlink" Target="http://finance.caixin.com/2019-12-05/688366.SH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search.caixin.com/search/%E5%BB%BA%E9%BE%99%E5%BE%AE%E7%BA%B3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aixin.com/hot/huaxinzhengquan.html" TargetMode="External"/><Relationship Id="rId17" Type="http://schemas.openxmlformats.org/officeDocument/2006/relationships/hyperlink" Target="http://www.caixin.com/hot/guocicailiao.html" TargetMode="External"/><Relationship Id="rId25" Type="http://schemas.openxmlformats.org/officeDocument/2006/relationships/hyperlink" Target="http://finance.caixin.com/2019-12-05/688358.SH" TargetMode="External"/><Relationship Id="rId33" Type="http://schemas.openxmlformats.org/officeDocument/2006/relationships/hyperlink" Target="http://finance.caixin.com/2019-12-05/688025.SH" TargetMode="External"/><Relationship Id="rId38" Type="http://schemas.openxmlformats.org/officeDocument/2006/relationships/hyperlink" Target="http://search.caixin.com/search/%E4%B8%AD%E5%9B%BD%E7%94%B5%E7%A0%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2020-09-25T07:55:00Z</dcterms:created>
  <dcterms:modified xsi:type="dcterms:W3CDTF">2020-09-25T08:26:00Z</dcterms:modified>
</cp:coreProperties>
</file>