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600"/>
        <w:jc w:val="center"/>
      </w:pPr>
      <w:r>
        <w:rPr>
          <w:rFonts w:ascii="Arial" w:cs="Arial" w:eastAsia="Arial" w:hAnsi="Arial"/>
          <w:b/>
          <w:bCs/>
          <w:color w:val="1F4E79"/>
          <w:sz w:val="64"/>
          <w:szCs w:val="64"/>
        </w:rPr>
        <w:t xml:space="preserve">FinOps in Kubernetes</w:t>
      </w:r>
    </w:p>
    <w:p>
      <w:pPr>
        <w:spacing w:after="80" w:before="0"/>
        <w:jc w:val="center"/>
      </w:pPr>
      <w:r>
        <w:rPr>
          <w:rFonts w:ascii="Arial" w:cs="Arial" w:eastAsia="Arial" w:hAnsi="Arial"/>
          <w:b/>
          <w:bCs/>
          <w:color w:val="2E75B6"/>
          <w:sz w:val="40"/>
          <w:szCs w:val="40"/>
        </w:rPr>
        <w:t xml:space="preserve">Cloud &amp; On-Premises – Complete Reference Guide</w:t>
      </w:r>
    </w:p>
    <w:p>
      <w:pPr>
        <w:spacing w:after="400" w:before="80"/>
        <w:jc w:val="center"/>
      </w:pPr>
      <w:r>
        <w:rPr>
          <w:rFonts w:ascii="Arial" w:cs="Arial" w:eastAsia="Arial" w:hAnsi="Arial"/>
          <w:i/>
          <w:iCs/>
          <w:color w:val="0097A7"/>
          <w:sz w:val="24"/>
          <w:szCs w:val="24"/>
        </w:rPr>
        <w:t xml:space="preserve">Version 1.0  |  2025</w:t>
      </w:r>
    </w:p>
    <w:p>
      <w:pPr>
        <w:pBdr>
          <w:top w:val="single" w:color="2E75B6" w:sz="12"/>
          <w:bottom w:val="single" w:color="2E75B6" w:sz="12"/>
        </w:pBdr>
        <w:spacing w:after="120" w:before="120"/>
        <w:jc w:val="center"/>
      </w:pPr>
      <w:r>
        <w:rPr>
          <w:rFonts w:ascii="Arial" w:cs="Arial" w:eastAsia="Arial" w:hAnsi="Arial"/>
          <w:b/>
          <w:bCs/>
          <w:i/>
          <w:iCs/>
          <w:color w:val="C55A11"/>
          <w:sz w:val="22"/>
          <w:szCs w:val="22"/>
        </w:rPr>
        <w:t xml:space="preserve">Engineering Excellence  •  Cloud Economics  •  Cost Governance</w:t>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 Introduction to FinOps in Kubernetes</w:t>
      </w:r>
    </w:p>
    <w:p>
      <w:pPr>
        <w:spacing w:after="100" w:before="60"/>
      </w:pPr>
      <w:r>
        <w:rPr>
          <w:rFonts w:ascii="Arial" w:cs="Arial" w:eastAsia="Arial" w:hAnsi="Arial"/>
          <w:b w:val="false"/>
          <w:bCs w:val="false"/>
          <w:i w:val="false"/>
          <w:iCs w:val="false"/>
          <w:color w:val="1A1A1A"/>
          <w:sz w:val="20"/>
          <w:szCs w:val="20"/>
        </w:rPr>
        <w:t xml:space="preserve">Financial Operations (FinOps) is a cultural practice and operational framework that brings together engineering, finance, and business teams to take collaborative ownership of cloud and infrastructure costs. In Kubernetes (K8s) environments, FinOps is essential because the abstraction layers of containers, pods, and namespaces make traditional cost allocation extremely difficult.</w:t>
      </w:r>
    </w:p>
    <w:p>
      <w:pPr>
        <w:spacing w:after="60" w:before="60"/>
      </w:pPr>
      <w:r>
        <w:t xml:space="preserve"/>
      </w:r>
    </w:p>
    <w:p>
      <w:pPr>
        <w:spacing w:after="100" w:before="60"/>
      </w:pPr>
      <w:r>
        <w:rPr>
          <w:rFonts w:ascii="Arial" w:cs="Arial" w:eastAsia="Arial" w:hAnsi="Arial"/>
          <w:b w:val="false"/>
          <w:bCs w:val="false"/>
          <w:i w:val="false"/>
          <w:iCs w:val="false"/>
          <w:color w:val="1A1A1A"/>
          <w:sz w:val="20"/>
          <w:szCs w:val="20"/>
        </w:rPr>
        <w:t xml:space="preserve">This document provides a comprehensive reference for implementing FinOps practices across both cloud-hosted Kubernetes clusters (AWS EKS, GCP GKE, Azure AKS) and on-premises Kubernetes deployments (kubeadm, Rancher, OpenShift, Tanzu). It covers the full lifecycle from cost visibility through to automation and governance.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 Why FinOps Matters for Kubernetes</w:t>
      </w:r>
    </w:p>
    <w:p>
      <w:pPr>
        <w:spacing w:after="100" w:before="60"/>
      </w:pPr>
      <w:r>
        <w:rPr>
          <w:rFonts w:ascii="Arial" w:cs="Arial" w:eastAsia="Arial" w:hAnsi="Arial"/>
          <w:b w:val="false"/>
          <w:bCs w:val="false"/>
          <w:i w:val="false"/>
          <w:iCs w:val="false"/>
          <w:color w:val="1A1A1A"/>
          <w:sz w:val="20"/>
          <w:szCs w:val="20"/>
        </w:rPr>
        <w:t xml:space="preserve">Kubernetes introduces significant complexity in cost management:</w:t>
      </w:r>
    </w:p>
    <w:p>
      <w:pPr>
        <w:pStyle w:val="ListParagraph"/>
        <w:numPr>
          <w:ilvl w:val="0"/>
          <w:numId w:val="2"/>
        </w:numPr>
        <w:spacing w:after="40" w:before="40"/>
      </w:pPr>
      <w:r>
        <w:rPr>
          <w:rFonts w:ascii="Arial" w:cs="Arial" w:eastAsia="Arial" w:hAnsi="Arial"/>
          <w:color w:val="1A1A1A"/>
          <w:sz w:val="20"/>
          <w:szCs w:val="20"/>
        </w:rPr>
        <w:t xml:space="preserve">Shared infrastructure: multiple teams share nodes, creating attribution challenges</w:t>
      </w:r>
    </w:p>
    <w:p>
      <w:pPr>
        <w:pStyle w:val="ListParagraph"/>
        <w:numPr>
          <w:ilvl w:val="0"/>
          <w:numId w:val="2"/>
        </w:numPr>
        <w:spacing w:after="40" w:before="40"/>
      </w:pPr>
      <w:r>
        <w:rPr>
          <w:rFonts w:ascii="Arial" w:cs="Arial" w:eastAsia="Arial" w:hAnsi="Arial"/>
          <w:color w:val="1A1A1A"/>
          <w:sz w:val="20"/>
          <w:szCs w:val="20"/>
        </w:rPr>
        <w:t xml:space="preserve">Ephemeral workloads: pods come and go; costs shift constantly</w:t>
      </w:r>
    </w:p>
    <w:p>
      <w:pPr>
        <w:pStyle w:val="ListParagraph"/>
        <w:numPr>
          <w:ilvl w:val="0"/>
          <w:numId w:val="2"/>
        </w:numPr>
        <w:spacing w:after="40" w:before="40"/>
      </w:pPr>
      <w:r>
        <w:rPr>
          <w:rFonts w:ascii="Arial" w:cs="Arial" w:eastAsia="Arial" w:hAnsi="Arial"/>
          <w:color w:val="1A1A1A"/>
          <w:sz w:val="20"/>
          <w:szCs w:val="20"/>
        </w:rPr>
        <w:t xml:space="preserve">Abstracted billing: cloud invoices show nodes, not workloads</w:t>
      </w:r>
    </w:p>
    <w:p>
      <w:pPr>
        <w:pStyle w:val="ListParagraph"/>
        <w:numPr>
          <w:ilvl w:val="0"/>
          <w:numId w:val="2"/>
        </w:numPr>
        <w:spacing w:after="40" w:before="40"/>
      </w:pPr>
      <w:r>
        <w:rPr>
          <w:rFonts w:ascii="Arial" w:cs="Arial" w:eastAsia="Arial" w:hAnsi="Arial"/>
          <w:color w:val="1A1A1A"/>
          <w:sz w:val="20"/>
          <w:szCs w:val="20"/>
        </w:rPr>
        <w:t xml:space="preserve">Over-provisioning by default: developers pad resource requests 'just in case'</w:t>
      </w:r>
    </w:p>
    <w:p>
      <w:pPr>
        <w:pStyle w:val="ListParagraph"/>
        <w:numPr>
          <w:ilvl w:val="0"/>
          <w:numId w:val="2"/>
        </w:numPr>
        <w:spacing w:after="40" w:before="40"/>
      </w:pPr>
      <w:r>
        <w:rPr>
          <w:rFonts w:ascii="Arial" w:cs="Arial" w:eastAsia="Arial" w:hAnsi="Arial"/>
          <w:color w:val="1A1A1A"/>
          <w:sz w:val="20"/>
          <w:szCs w:val="20"/>
        </w:rPr>
        <w:t xml:space="preserve">Hidden waste: idle namespaces, unused PVCs, and over-replicated services</w:t>
      </w:r>
    </w:p>
    <w:p>
      <w:pPr>
        <w:spacing w:after="60" w:before="60"/>
      </w:pPr>
      <w:r>
        <w:t xml:space="preserve"/>
      </w:r>
    </w:p>
    <w:p>
      <w:pPr>
        <w:pBdr>
          <w:left w:val="single" w:color="2E75B6" w:sz="16" w:space="8"/>
        </w:pBdr>
        <w:shd w:fill="DEEAF1" w:val="clear"/>
        <w:spacing w:after="120" w:before="120"/>
        <w:ind w:left="360"/>
      </w:pPr>
      <w:r>
        <w:rPr>
          <w:rFonts w:ascii="Arial" w:cs="Arial" w:eastAsia="Arial" w:hAnsi="Arial"/>
          <w:i/>
          <w:iCs/>
          <w:color w:val="1A1A1A"/>
          <w:sz w:val="20"/>
          <w:szCs w:val="20"/>
        </w:rPr>
        <w:t xml:space="preserve">Industry studies show that 30–40% of Kubernetes compute spend is wasted through over-provisioning, idle resources, and lack of cost visibility. FinOps practices can recover most of this waste.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1.2 The Three Pillars of FinOps</w:t>
      </w:r>
    </w:p>
    <w:p>
      <w:pPr>
        <w:spacing w:after="100" w:before="60"/>
      </w:pPr>
      <w:r>
        <w:rPr>
          <w:rFonts w:ascii="Arial" w:cs="Arial" w:eastAsia="Arial" w:hAnsi="Arial"/>
          <w:b w:val="false"/>
          <w:bCs w:val="false"/>
          <w:i w:val="false"/>
          <w:iCs w:val="false"/>
          <w:color w:val="1A1A1A"/>
          <w:sz w:val="20"/>
          <w:szCs w:val="20"/>
        </w:rPr>
        <w:t xml:space="preserve">FinOps is organized around three iterative pillars: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c>
          <w:tcPr>
            <w:tcW w:type="dxa" w:w="22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Pillar</w:t>
            </w:r>
          </w:p>
        </w:tc>
        <w:tc>
          <w:tcPr>
            <w:tcW w:type="dxa" w:w="36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35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Tools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Inform</w:t>
            </w:r>
          </w:p>
        </w:tc>
        <w:tc>
          <w:tcPr>
            <w:tcW w:type="dxa" w:w="36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Visibility into cloud/cluster spend; cost allocation, tagging, dashboards</w:t>
            </w:r>
          </w:p>
        </w:tc>
        <w:tc>
          <w:tcPr>
            <w:tcW w:type="dxa" w:w="35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Kubecost, CloudHealth, AWS Cost Explorer</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Optimize</w:t>
            </w:r>
          </w:p>
        </w:tc>
        <w:tc>
          <w:tcPr>
            <w:tcW w:type="dxa" w:w="36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Right-sizing, autoscaling, spot/preemptible instances, bin-packing</w:t>
            </w:r>
          </w:p>
        </w:tc>
        <w:tc>
          <w:tcPr>
            <w:tcW w:type="dxa" w:w="35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VPA, HPA, KEDA, Karpenter, Cluster Autoscaler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Operate</w:t>
            </w:r>
          </w:p>
        </w:tc>
        <w:tc>
          <w:tcPr>
            <w:tcW w:type="dxa" w:w="36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Governance, policies, showback/chargeback, budgets, alerts</w:t>
            </w:r>
          </w:p>
        </w:tc>
        <w:tc>
          <w:tcPr>
            <w:tcW w:type="dxa" w:w="35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OPA/Gatekeeper, Argo, Terraform, GitOps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1.3 Cloud vs. On-Premises: Key Differences</w:t>
      </w:r>
    </w:p>
    <w:p>
      <w:pPr>
        <w:spacing w:after="100" w:before="60"/>
      </w:pPr>
      <w:r>
        <w:rPr>
          <w:rFonts w:ascii="Arial" w:cs="Arial" w:eastAsia="Arial" w:hAnsi="Arial"/>
          <w:b w:val="false"/>
          <w:bCs w:val="false"/>
          <w:i w:val="false"/>
          <w:iCs w:val="false"/>
          <w:color w:val="1A1A1A"/>
          <w:sz w:val="20"/>
          <w:szCs w:val="20"/>
        </w:rPr>
        <w:t xml:space="preserve">While the FinOps principles apply universally, their implementation differs significantly between cloud and on-premises deployments: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33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Cloud (AWS/GCP/Azure)</w:t>
            </w:r>
          </w:p>
        </w:tc>
        <w:tc>
          <w:tcPr>
            <w:tcW w:type="dxa" w:w="33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On-Premises</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Cost Model</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Pay-per-use (vCPU/RAM/hour), elastic scaling</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CapEx hardware + OpEx (power, cooling, staff)</w:t>
            </w:r>
          </w:p>
        </w:tc>
      </w:tr>
      <w:tr>
        <w:tc>
          <w:tcPr>
            <w:tcW w:type="dxa" w:w="26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Visibility</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Native cost explorer tools, per-resource billing</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Custom metering required; often manual tracking</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Right-sizing</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Resize instances on demand; spot/preemptible available</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Constrained by physical hardware; longer lead times</w:t>
            </w:r>
          </w:p>
        </w:tc>
      </w:tr>
      <w:tr>
        <w:tc>
          <w:tcPr>
            <w:tcW w:type="dxa" w:w="26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Autoscaling</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Cloud-native node pools, managed scaling</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Physical limits; software-driven (Cluster Autoscaler)</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Chargeback</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Tag-based billing; automatic cost attribution</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Manual cost models; IPAM + storage allocation tracking</w:t>
            </w:r>
          </w:p>
        </w:tc>
      </w:tr>
      <w:tr>
        <w:tc>
          <w:tcPr>
            <w:tcW w:type="dxa" w:w="26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Idle Resources</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Easily identified via cloud console; cost impact immediate</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Hidden costs; capacity planning impacts</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Multi-tenancy</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Namespaces + cloud IAM + cost tags</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Namespaces + on-prem LDAP/RBAC; internal accounting</w:t>
            </w:r>
          </w:p>
        </w:tc>
      </w:tr>
      <w:tr>
        <w:tc>
          <w:tcPr>
            <w:tcW w:type="dxa" w:w="26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Storage Costs</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PVC backed by cloud storage (billed per GB)</w:t>
            </w:r>
          </w:p>
        </w:tc>
        <w:tc>
          <w:tcPr>
            <w:tcW w:type="dxa" w:w="3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SAN/NAS/Ceph – fixed CapEx but variable utilization</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Network Costs</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Egress/ingress charges, inter-AZ traffic costs</w:t>
            </w:r>
          </w:p>
        </w:tc>
        <w:tc>
          <w:tcPr>
            <w:tcW w:type="dxa" w:w="3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Internal traffic free; external bandwidth costs</w:t>
            </w:r>
          </w:p>
        </w:tc>
      </w:tr>
    </w:tbl>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2. Cost Visibility &amp; Monitoring</w:t>
      </w:r>
    </w:p>
    <w:p>
      <w:pPr>
        <w:spacing w:after="100" w:before="60"/>
      </w:pPr>
      <w:r>
        <w:rPr>
          <w:rFonts w:ascii="Arial" w:cs="Arial" w:eastAsia="Arial" w:hAnsi="Arial"/>
          <w:b w:val="false"/>
          <w:bCs w:val="false"/>
          <w:i w:val="false"/>
          <w:iCs w:val="false"/>
          <w:color w:val="1A1A1A"/>
          <w:sz w:val="20"/>
          <w:szCs w:val="20"/>
        </w:rPr>
        <w:t xml:space="preserve">The first step of any FinOps program is establishing accurate, real-time visibility into where money is being spent. In Kubernetes, this requires dedicated tooling because workloads share underlying nodes.</w:t>
      </w:r>
    </w:p>
    <w:p>
      <w:pPr>
        <w:pStyle w:val="Heading2"/>
        <w:spacing w:after="120" w:before="280"/>
      </w:pPr>
      <w:r>
        <w:rPr>
          <w:rFonts w:ascii="Arial" w:cs="Arial" w:eastAsia="Arial" w:hAnsi="Arial"/>
          <w:b/>
          <w:bCs/>
          <w:color w:val="2E75B6"/>
          <w:sz w:val="28"/>
          <w:szCs w:val="28"/>
        </w:rPr>
        <w:t xml:space="preserve">2.1 Cost Attribution Model</w:t>
      </w:r>
    </w:p>
    <w:p>
      <w:pPr>
        <w:spacing w:after="100" w:before="60"/>
      </w:pPr>
      <w:r>
        <w:rPr>
          <w:rFonts w:ascii="Arial" w:cs="Arial" w:eastAsia="Arial" w:hAnsi="Arial"/>
          <w:b w:val="false"/>
          <w:bCs w:val="false"/>
          <w:i w:val="false"/>
          <w:iCs w:val="false"/>
          <w:color w:val="1A1A1A"/>
          <w:sz w:val="20"/>
          <w:szCs w:val="20"/>
        </w:rPr>
        <w:t xml:space="preserve">Costs in a Kubernetes cluster must be attributed across multiple dimensions:</w:t>
      </w:r>
    </w:p>
    <w:p>
      <w:pPr>
        <w:pStyle w:val="ListParagraph"/>
        <w:numPr>
          <w:ilvl w:val="0"/>
          <w:numId w:val="2"/>
        </w:numPr>
        <w:spacing w:after="40" w:before="40"/>
      </w:pPr>
      <w:r>
        <w:rPr>
          <w:rFonts w:ascii="Arial" w:cs="Arial" w:eastAsia="Arial" w:hAnsi="Arial"/>
          <w:color w:val="1A1A1A"/>
          <w:sz w:val="20"/>
          <w:szCs w:val="20"/>
        </w:rPr>
        <w:t xml:space="preserve">Namespace (most common boundary for team/project separation)</w:t>
      </w:r>
    </w:p>
    <w:p>
      <w:pPr>
        <w:pStyle w:val="ListParagraph"/>
        <w:numPr>
          <w:ilvl w:val="0"/>
          <w:numId w:val="2"/>
        </w:numPr>
        <w:spacing w:after="40" w:before="40"/>
      </w:pPr>
      <w:r>
        <w:rPr>
          <w:rFonts w:ascii="Arial" w:cs="Arial" w:eastAsia="Arial" w:hAnsi="Arial"/>
          <w:color w:val="1A1A1A"/>
          <w:sz w:val="20"/>
          <w:szCs w:val="20"/>
        </w:rPr>
        <w:t xml:space="preserve">Deployment / StatefulSet / DaemonSet</w:t>
      </w:r>
    </w:p>
    <w:p>
      <w:pPr>
        <w:pStyle w:val="ListParagraph"/>
        <w:numPr>
          <w:ilvl w:val="0"/>
          <w:numId w:val="2"/>
        </w:numPr>
        <w:spacing w:after="40" w:before="40"/>
      </w:pPr>
      <w:r>
        <w:rPr>
          <w:rFonts w:ascii="Arial" w:cs="Arial" w:eastAsia="Arial" w:hAnsi="Arial"/>
          <w:color w:val="1A1A1A"/>
          <w:sz w:val="20"/>
          <w:szCs w:val="20"/>
        </w:rPr>
        <w:t xml:space="preserve">Label selectors (team, app, environment, cost-center)</w:t>
      </w:r>
    </w:p>
    <w:p>
      <w:pPr>
        <w:pStyle w:val="ListParagraph"/>
        <w:numPr>
          <w:ilvl w:val="0"/>
          <w:numId w:val="2"/>
        </w:numPr>
        <w:spacing w:after="40" w:before="40"/>
      </w:pPr>
      <w:r>
        <w:rPr>
          <w:rFonts w:ascii="Arial" w:cs="Arial" w:eastAsia="Arial" w:hAnsi="Arial"/>
          <w:color w:val="1A1A1A"/>
          <w:sz w:val="20"/>
          <w:szCs w:val="20"/>
        </w:rPr>
        <w:t xml:space="preserve">Node pool or instance type</w:t>
      </w:r>
    </w:p>
    <w:p>
      <w:pPr>
        <w:pStyle w:val="ListParagraph"/>
        <w:numPr>
          <w:ilvl w:val="0"/>
          <w:numId w:val="2"/>
        </w:numPr>
        <w:spacing w:after="40" w:before="40"/>
      </w:pPr>
      <w:r>
        <w:rPr>
          <w:rFonts w:ascii="Arial" w:cs="Arial" w:eastAsia="Arial" w:hAnsi="Arial"/>
          <w:color w:val="1A1A1A"/>
          <w:sz w:val="20"/>
          <w:szCs w:val="20"/>
        </w:rPr>
        <w:t xml:space="preserve">Storage class and PVC</w:t>
      </w:r>
    </w:p>
    <w:p>
      <w:pPr>
        <w:pStyle w:val="ListParagraph"/>
        <w:numPr>
          <w:ilvl w:val="0"/>
          <w:numId w:val="2"/>
        </w:numPr>
        <w:spacing w:after="40" w:before="40"/>
      </w:pPr>
      <w:r>
        <w:rPr>
          <w:rFonts w:ascii="Arial" w:cs="Arial" w:eastAsia="Arial" w:hAnsi="Arial"/>
          <w:color w:val="1A1A1A"/>
          <w:sz w:val="20"/>
          <w:szCs w:val="20"/>
        </w:rPr>
        <w:t xml:space="preserve">Network egress by service or pod</w:t>
      </w:r>
    </w:p>
    <w:p>
      <w:pPr>
        <w:spacing w:after="60" w:before="60"/>
      </w:pPr>
      <w:r>
        <w:t xml:space="preserve"/>
      </w:r>
    </w:p>
    <w:p>
      <w:pPr>
        <w:spacing w:after="100" w:before="60"/>
      </w:pPr>
      <w:r>
        <w:rPr>
          <w:rFonts w:ascii="Arial" w:cs="Arial" w:eastAsia="Arial" w:hAnsi="Arial"/>
          <w:b w:val="false"/>
          <w:bCs w:val="false"/>
          <w:i w:val="false"/>
          <w:iCs w:val="false"/>
          <w:color w:val="1A1A1A"/>
          <w:sz w:val="20"/>
          <w:szCs w:val="20"/>
        </w:rPr>
        <w:t xml:space="preserve">For cloud deployments, the attribution chain is: Cloud Bill → Node Pool → Node → Pod → Namespace → Label. For on-premises, this becomes: Data Center Cost → Rack/Host → VM/Bare-metal → Pod → Namespace → Label.</w:t>
      </w:r>
    </w:p>
    <w:p>
      <w:pPr>
        <w:pStyle w:val="Heading2"/>
        <w:spacing w:after="120" w:before="280"/>
      </w:pPr>
      <w:r>
        <w:rPr>
          <w:rFonts w:ascii="Arial" w:cs="Arial" w:eastAsia="Arial" w:hAnsi="Arial"/>
          <w:b/>
          <w:bCs/>
          <w:color w:val="2E75B6"/>
          <w:sz w:val="28"/>
          <w:szCs w:val="28"/>
        </w:rPr>
        <w:t xml:space="preserve">2.2 Kubecost – Kubernetes Cost Monitoring</w:t>
      </w:r>
    </w:p>
    <w:p>
      <w:pPr>
        <w:spacing w:after="100" w:before="60"/>
      </w:pPr>
      <w:r>
        <w:rPr>
          <w:rFonts w:ascii="Arial" w:cs="Arial" w:eastAsia="Arial" w:hAnsi="Arial"/>
          <w:b w:val="false"/>
          <w:bCs w:val="false"/>
          <w:i w:val="false"/>
          <w:iCs w:val="false"/>
          <w:color w:val="1A1A1A"/>
          <w:sz w:val="20"/>
          <w:szCs w:val="20"/>
        </w:rPr>
        <w:t xml:space="preserve">Kubecost is the leading open-source Kubernetes cost monitoring tool, supporting both cloud and on-premises environments.</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Installation (Helm)</w:t>
      </w:r>
    </w:p>
    <w:p>
      <w:pPr>
        <w:shd w:fill="1A1A2E" w:val="clear"/>
        <w:spacing w:after="80" w:before="80"/>
      </w:pPr>
      <w:r>
        <w:rPr>
          <w:rFonts w:ascii="Courier New" w:cs="Courier New" w:eastAsia="Courier New" w:hAnsi="Courier New"/>
          <w:color w:val="00FF88"/>
          <w:sz w:val="18"/>
          <w:szCs w:val="18"/>
        </w:rPr>
        <w:t xml:space="preserve">helm repo add kubecost https://kubecost.github.io/cost-analyzer/</w:t>
      </w:r>
    </w:p>
    <w:p>
      <w:pPr>
        <w:shd w:fill="1A1A2E" w:val="clear"/>
        <w:spacing w:after="80" w:before="0"/>
      </w:pPr>
      <w:r>
        <w:rPr>
          <w:rFonts w:ascii="Courier New" w:cs="Courier New" w:eastAsia="Courier New" w:hAnsi="Courier New"/>
          <w:color w:val="00FF88"/>
          <w:sz w:val="18"/>
          <w:szCs w:val="18"/>
        </w:rPr>
        <w:t xml:space="preserve">helm install kubecost kubecost/cost-analyzer --namespace kubecost --create-namespace</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Key Kubecost Capabilities</w:t>
      </w:r>
    </w:p>
    <w:p>
      <w:pPr>
        <w:pStyle w:val="ListParagraph"/>
        <w:numPr>
          <w:ilvl w:val="0"/>
          <w:numId w:val="2"/>
        </w:numPr>
        <w:spacing w:after="40" w:before="40"/>
      </w:pPr>
      <w:r>
        <w:rPr>
          <w:rFonts w:ascii="Arial" w:cs="Arial" w:eastAsia="Arial" w:hAnsi="Arial"/>
          <w:color w:val="1A1A1A"/>
          <w:sz w:val="20"/>
          <w:szCs w:val="20"/>
        </w:rPr>
        <w:t xml:space="preserve">Real-time pod/namespace/deployment cost breakdown</w:t>
      </w:r>
    </w:p>
    <w:p>
      <w:pPr>
        <w:pStyle w:val="ListParagraph"/>
        <w:numPr>
          <w:ilvl w:val="0"/>
          <w:numId w:val="2"/>
        </w:numPr>
        <w:spacing w:after="40" w:before="40"/>
      </w:pPr>
      <w:r>
        <w:rPr>
          <w:rFonts w:ascii="Arial" w:cs="Arial" w:eastAsia="Arial" w:hAnsi="Arial"/>
          <w:color w:val="1A1A1A"/>
          <w:sz w:val="20"/>
          <w:szCs w:val="20"/>
        </w:rPr>
        <w:t xml:space="preserve">Idle and shared cost allocation</w:t>
      </w:r>
    </w:p>
    <w:p>
      <w:pPr>
        <w:pStyle w:val="ListParagraph"/>
        <w:numPr>
          <w:ilvl w:val="0"/>
          <w:numId w:val="2"/>
        </w:numPr>
        <w:spacing w:after="40" w:before="40"/>
      </w:pPr>
      <w:r>
        <w:rPr>
          <w:rFonts w:ascii="Arial" w:cs="Arial" w:eastAsia="Arial" w:hAnsi="Arial"/>
          <w:color w:val="1A1A1A"/>
          <w:sz w:val="20"/>
          <w:szCs w:val="20"/>
        </w:rPr>
        <w:t xml:space="preserve">Savings recommendations (right-sizing, cluster right-sizing)</w:t>
      </w:r>
    </w:p>
    <w:p>
      <w:pPr>
        <w:pStyle w:val="ListParagraph"/>
        <w:numPr>
          <w:ilvl w:val="0"/>
          <w:numId w:val="2"/>
        </w:numPr>
        <w:spacing w:after="40" w:before="40"/>
      </w:pPr>
      <w:r>
        <w:rPr>
          <w:rFonts w:ascii="Arial" w:cs="Arial" w:eastAsia="Arial" w:hAnsi="Arial"/>
          <w:color w:val="1A1A1A"/>
          <w:sz w:val="20"/>
          <w:szCs w:val="20"/>
        </w:rPr>
        <w:t xml:space="preserve">Budget alerts and anomaly detection</w:t>
      </w:r>
    </w:p>
    <w:p>
      <w:pPr>
        <w:pStyle w:val="ListParagraph"/>
        <w:numPr>
          <w:ilvl w:val="0"/>
          <w:numId w:val="2"/>
        </w:numPr>
        <w:spacing w:after="40" w:before="40"/>
      </w:pPr>
      <w:r>
        <w:rPr>
          <w:rFonts w:ascii="Arial" w:cs="Arial" w:eastAsia="Arial" w:hAnsi="Arial"/>
          <w:color w:val="1A1A1A"/>
          <w:sz w:val="20"/>
          <w:szCs w:val="20"/>
        </w:rPr>
        <w:t xml:space="preserve">Multi-cluster cost aggregation</w:t>
      </w:r>
    </w:p>
    <w:p>
      <w:pPr>
        <w:pStyle w:val="ListParagraph"/>
        <w:numPr>
          <w:ilvl w:val="0"/>
          <w:numId w:val="2"/>
        </w:numPr>
        <w:spacing w:after="40" w:before="40"/>
      </w:pPr>
      <w:r>
        <w:rPr>
          <w:rFonts w:ascii="Arial" w:cs="Arial" w:eastAsia="Arial" w:hAnsi="Arial"/>
          <w:color w:val="1A1A1A"/>
          <w:sz w:val="20"/>
          <w:szCs w:val="20"/>
        </w:rPr>
        <w:t xml:space="preserve">On-premises cost modeling with custom hourly rates</w:t>
      </w:r>
    </w:p>
    <w:p>
      <w:pPr>
        <w:spacing w:after="60" w:before="60"/>
      </w:pPr>
      <w:r>
        <w:t xml:space="preserve"/>
      </w:r>
    </w:p>
    <w:p>
      <w:pPr>
        <w:pBdr>
          <w:left w:val="single" w:color="2E75B6" w:sz="16" w:space="8"/>
        </w:pBdr>
        <w:shd w:fill="DEEAF1" w:val="clear"/>
        <w:spacing w:after="120" w:before="120"/>
        <w:ind w:left="360"/>
      </w:pPr>
      <w:r>
        <w:rPr>
          <w:rFonts w:ascii="Arial" w:cs="Arial" w:eastAsia="Arial" w:hAnsi="Arial"/>
          <w:i/>
          <w:iCs/>
          <w:color w:val="1A1A1A"/>
          <w:sz w:val="20"/>
          <w:szCs w:val="20"/>
        </w:rPr>
        <w:t xml:space="preserve">For on-premises clusters, configure Kubecost with your actual infrastructure costs (server depreciation, power, cooling, licensing) via the custom pricing API to get accurate cost attribution.</w:t>
      </w:r>
    </w:p>
    <w:p>
      <w:pPr>
        <w:pStyle w:val="Heading2"/>
        <w:spacing w:after="120" w:before="280"/>
      </w:pPr>
      <w:r>
        <w:rPr>
          <w:rFonts w:ascii="Arial" w:cs="Arial" w:eastAsia="Arial" w:hAnsi="Arial"/>
          <w:b/>
          <w:bCs/>
          <w:color w:val="2E75B6"/>
          <w:sz w:val="28"/>
          <w:szCs w:val="28"/>
        </w:rPr>
        <w:t xml:space="preserve">2.3 OpenCost – CNCF Open Standard</w:t>
      </w:r>
    </w:p>
    <w:p>
      <w:pPr>
        <w:spacing w:after="100" w:before="60"/>
      </w:pPr>
      <w:r>
        <w:rPr>
          <w:rFonts w:ascii="Arial" w:cs="Arial" w:eastAsia="Arial" w:hAnsi="Arial"/>
          <w:b w:val="false"/>
          <w:bCs w:val="false"/>
          <w:i w:val="false"/>
          <w:iCs w:val="false"/>
          <w:color w:val="1A1A1A"/>
          <w:sz w:val="20"/>
          <w:szCs w:val="20"/>
        </w:rPr>
        <w:t xml:space="preserve">OpenCost is a CNCF sandbox project that provides a vendor-neutral, open specification for Kubernetes cost monitoring. It integrates with Prometheus and is suitable for both cloud and on-premises deployments.</w:t>
      </w:r>
    </w:p>
    <w:p>
      <w:pPr>
        <w:pStyle w:val="ListParagraph"/>
        <w:numPr>
          <w:ilvl w:val="0"/>
          <w:numId w:val="2"/>
        </w:numPr>
        <w:spacing w:after="40" w:before="40"/>
      </w:pPr>
      <w:r>
        <w:rPr>
          <w:rFonts w:ascii="Arial" w:cs="Arial" w:eastAsia="Arial" w:hAnsi="Arial"/>
          <w:color w:val="1A1A1A"/>
          <w:sz w:val="20"/>
          <w:szCs w:val="20"/>
        </w:rPr>
        <w:t xml:space="preserve">Expose cost data via a standard REST API</w:t>
      </w:r>
    </w:p>
    <w:p>
      <w:pPr>
        <w:pStyle w:val="ListParagraph"/>
        <w:numPr>
          <w:ilvl w:val="0"/>
          <w:numId w:val="2"/>
        </w:numPr>
        <w:spacing w:after="40" w:before="40"/>
      </w:pPr>
      <w:r>
        <w:rPr>
          <w:rFonts w:ascii="Arial" w:cs="Arial" w:eastAsia="Arial" w:hAnsi="Arial"/>
          <w:color w:val="1A1A1A"/>
          <w:sz w:val="20"/>
          <w:szCs w:val="20"/>
        </w:rPr>
        <w:t xml:space="preserve">Query costs by namespace, label, annotation, or deployment</w:t>
      </w:r>
    </w:p>
    <w:p>
      <w:pPr>
        <w:pStyle w:val="ListParagraph"/>
        <w:numPr>
          <w:ilvl w:val="0"/>
          <w:numId w:val="2"/>
        </w:numPr>
        <w:spacing w:after="40" w:before="40"/>
      </w:pPr>
      <w:r>
        <w:rPr>
          <w:rFonts w:ascii="Arial" w:cs="Arial" w:eastAsia="Arial" w:hAnsi="Arial"/>
          <w:color w:val="1A1A1A"/>
          <w:sz w:val="20"/>
          <w:szCs w:val="20"/>
        </w:rPr>
        <w:t xml:space="preserve">Integrates natively with Prometheus and Grafana</w:t>
      </w:r>
    </w:p>
    <w:p>
      <w:pPr>
        <w:pStyle w:val="ListParagraph"/>
        <w:numPr>
          <w:ilvl w:val="0"/>
          <w:numId w:val="2"/>
        </w:numPr>
        <w:spacing w:after="40" w:before="40"/>
      </w:pPr>
      <w:r>
        <w:rPr>
          <w:rFonts w:ascii="Arial" w:cs="Arial" w:eastAsia="Arial" w:hAnsi="Arial"/>
          <w:color w:val="1A1A1A"/>
          <w:sz w:val="20"/>
          <w:szCs w:val="20"/>
        </w:rPr>
        <w:t xml:space="preserve">Supports AWS, GCP, Azure pricing APIs plus custom on-prem pricing</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2.4 Prometheus &amp; Grafana Dashboards</w:t>
      </w:r>
    </w:p>
    <w:p>
      <w:pPr>
        <w:spacing w:after="100" w:before="60"/>
      </w:pPr>
      <w:r>
        <w:rPr>
          <w:rFonts w:ascii="Arial" w:cs="Arial" w:eastAsia="Arial" w:hAnsi="Arial"/>
          <w:b w:val="false"/>
          <w:bCs w:val="false"/>
          <w:i w:val="false"/>
          <w:iCs w:val="false"/>
          <w:color w:val="1A1A1A"/>
          <w:sz w:val="20"/>
          <w:szCs w:val="20"/>
        </w:rPr>
        <w:t xml:space="preserve">A solid Prometheus + Grafana stack is the foundation of K8s FinOps observability. Key metrics to track: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61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FinOps Purpose</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container_cpu_usage_seconds_total</w:t>
            </w:r>
          </w:p>
        </w:tc>
        <w:tc>
          <w:tcPr>
            <w:tcW w:type="dxa" w:w="61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Actual CPU consumed vs requested – identifies over-provisioning</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container_memory_working_set_bytes</w:t>
            </w:r>
          </w:p>
        </w:tc>
        <w:tc>
          <w:tcPr>
            <w:tcW w:type="dxa" w:w="61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Actual memory vs requested – identifies padding</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kube_pod_container_resource_requests</w:t>
            </w:r>
          </w:p>
        </w:tc>
        <w:tc>
          <w:tcPr>
            <w:tcW w:type="dxa" w:w="61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Requested resources per container – compare to actual usage</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kube_pod_container_resource_limits</w:t>
            </w:r>
          </w:p>
        </w:tc>
        <w:tc>
          <w:tcPr>
            <w:tcW w:type="dxa" w:w="61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Configured limits – validate vs workload needs</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kubelet_volume_stats_used_bytes</w:t>
            </w:r>
          </w:p>
        </w:tc>
        <w:tc>
          <w:tcPr>
            <w:tcW w:type="dxa" w:w="61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PVC utilization – identify wasted storage</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kube_node_status_allocatable</w:t>
            </w:r>
          </w:p>
        </w:tc>
        <w:tc>
          <w:tcPr>
            <w:tcW w:type="dxa" w:w="61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Available node capacity – bin-packing efficiency</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node_cpu_seconds_total</w:t>
            </w:r>
          </w:p>
        </w:tc>
        <w:tc>
          <w:tcPr>
            <w:tcW w:type="dxa" w:w="61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Physical node CPU – on-premises utilization baseline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2.5 Cloud-Native Billing Tools</w:t>
      </w:r>
    </w:p>
    <w:p>
      <w:pPr>
        <w:pStyle w:val="Heading3"/>
        <w:spacing w:after="80" w:before="200"/>
      </w:pPr>
      <w:r>
        <w:rPr>
          <w:rFonts w:ascii="Arial" w:cs="Arial" w:eastAsia="Arial" w:hAnsi="Arial"/>
          <w:b/>
          <w:bCs/>
          <w:color w:val="0097A7"/>
          <w:sz w:val="24"/>
          <w:szCs w:val="24"/>
        </w:rPr>
        <w:t xml:space="preserve">AWS (EKS)</w:t>
      </w:r>
    </w:p>
    <w:p>
      <w:pPr>
        <w:pStyle w:val="ListParagraph"/>
        <w:numPr>
          <w:ilvl w:val="0"/>
          <w:numId w:val="2"/>
        </w:numPr>
        <w:spacing w:after="40" w:before="40"/>
      </w:pPr>
      <w:r>
        <w:rPr>
          <w:rFonts w:ascii="Arial" w:cs="Arial" w:eastAsia="Arial" w:hAnsi="Arial"/>
          <w:color w:val="1A1A1A"/>
          <w:sz w:val="20"/>
          <w:szCs w:val="20"/>
        </w:rPr>
        <w:t xml:space="preserve">AWS Cost Explorer: filter by EKS cluster tag, view EC2 instance spend</w:t>
      </w:r>
    </w:p>
    <w:p>
      <w:pPr>
        <w:pStyle w:val="ListParagraph"/>
        <w:numPr>
          <w:ilvl w:val="0"/>
          <w:numId w:val="2"/>
        </w:numPr>
        <w:spacing w:after="40" w:before="40"/>
      </w:pPr>
      <w:r>
        <w:rPr>
          <w:rFonts w:ascii="Arial" w:cs="Arial" w:eastAsia="Arial" w:hAnsi="Arial"/>
          <w:color w:val="1A1A1A"/>
          <w:sz w:val="20"/>
          <w:szCs w:val="20"/>
        </w:rPr>
        <w:t xml:space="preserve">AWS Compute Optimizer: right-sizing recommendations for EC2 nodes</w:t>
      </w:r>
    </w:p>
    <w:p>
      <w:pPr>
        <w:pStyle w:val="ListParagraph"/>
        <w:numPr>
          <w:ilvl w:val="0"/>
          <w:numId w:val="2"/>
        </w:numPr>
        <w:spacing w:after="40" w:before="40"/>
      </w:pPr>
      <w:r>
        <w:rPr>
          <w:rFonts w:ascii="Arial" w:cs="Arial" w:eastAsia="Arial" w:hAnsi="Arial"/>
          <w:color w:val="1A1A1A"/>
          <w:sz w:val="20"/>
          <w:szCs w:val="20"/>
        </w:rPr>
        <w:t xml:space="preserve">Savings Plans and Reserved Instances: baseline node cost reduction</w:t>
      </w:r>
    </w:p>
    <w:p>
      <w:pPr>
        <w:pStyle w:val="ListParagraph"/>
        <w:numPr>
          <w:ilvl w:val="0"/>
          <w:numId w:val="2"/>
        </w:numPr>
        <w:spacing w:after="40" w:before="40"/>
      </w:pPr>
      <w:r>
        <w:rPr>
          <w:rFonts w:ascii="Arial" w:cs="Arial" w:eastAsia="Arial" w:hAnsi="Arial"/>
          <w:color w:val="1A1A1A"/>
          <w:sz w:val="20"/>
          <w:szCs w:val="20"/>
        </w:rPr>
        <w:t xml:space="preserve">AWS Spot Instances: 60–90% savings for fault-tolerant workloads</w:t>
      </w:r>
    </w:p>
    <w:p>
      <w:pPr>
        <w:pStyle w:val="ListParagraph"/>
        <w:numPr>
          <w:ilvl w:val="0"/>
          <w:numId w:val="2"/>
        </w:numPr>
        <w:spacing w:after="40" w:before="40"/>
      </w:pPr>
      <w:r>
        <w:rPr>
          <w:rFonts w:ascii="Arial" w:cs="Arial" w:eastAsia="Arial" w:hAnsi="Arial"/>
          <w:color w:val="1A1A1A"/>
          <w:sz w:val="20"/>
          <w:szCs w:val="20"/>
        </w:rPr>
        <w:t xml:space="preserve">Container Insights (CloudWatch): per-cluster CPU/memory metrics</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Google Cloud (GKE)</w:t>
      </w:r>
    </w:p>
    <w:p>
      <w:pPr>
        <w:pStyle w:val="ListParagraph"/>
        <w:numPr>
          <w:ilvl w:val="0"/>
          <w:numId w:val="2"/>
        </w:numPr>
        <w:spacing w:after="40" w:before="40"/>
      </w:pPr>
      <w:r>
        <w:rPr>
          <w:rFonts w:ascii="Arial" w:cs="Arial" w:eastAsia="Arial" w:hAnsi="Arial"/>
          <w:color w:val="1A1A1A"/>
          <w:sz w:val="20"/>
          <w:szCs w:val="20"/>
        </w:rPr>
        <w:t xml:space="preserve">GKE Cost Allocation: per-namespace billing in GCP billing console</w:t>
      </w:r>
    </w:p>
    <w:p>
      <w:pPr>
        <w:pStyle w:val="ListParagraph"/>
        <w:numPr>
          <w:ilvl w:val="0"/>
          <w:numId w:val="2"/>
        </w:numPr>
        <w:spacing w:after="40" w:before="40"/>
      </w:pPr>
      <w:r>
        <w:rPr>
          <w:rFonts w:ascii="Arial" w:cs="Arial" w:eastAsia="Arial" w:hAnsi="Arial"/>
          <w:color w:val="1A1A1A"/>
          <w:sz w:val="20"/>
          <w:szCs w:val="20"/>
        </w:rPr>
        <w:t xml:space="preserve">BigQuery billing export: fine-grained cost analysis with SQL</w:t>
      </w:r>
    </w:p>
    <w:p>
      <w:pPr>
        <w:pStyle w:val="ListParagraph"/>
        <w:numPr>
          <w:ilvl w:val="0"/>
          <w:numId w:val="2"/>
        </w:numPr>
        <w:spacing w:after="40" w:before="40"/>
      </w:pPr>
      <w:r>
        <w:rPr>
          <w:rFonts w:ascii="Arial" w:cs="Arial" w:eastAsia="Arial" w:hAnsi="Arial"/>
          <w:color w:val="1A1A1A"/>
          <w:sz w:val="20"/>
          <w:szCs w:val="20"/>
        </w:rPr>
        <w:t xml:space="preserve">Committed Use Discounts (CUD): 1–3 year baseline commitments</w:t>
      </w:r>
    </w:p>
    <w:p>
      <w:pPr>
        <w:pStyle w:val="ListParagraph"/>
        <w:numPr>
          <w:ilvl w:val="0"/>
          <w:numId w:val="2"/>
        </w:numPr>
        <w:spacing w:after="40" w:before="40"/>
      </w:pPr>
      <w:r>
        <w:rPr>
          <w:rFonts w:ascii="Arial" w:cs="Arial" w:eastAsia="Arial" w:hAnsi="Arial"/>
          <w:color w:val="1A1A1A"/>
          <w:sz w:val="20"/>
          <w:szCs w:val="20"/>
        </w:rPr>
        <w:t xml:space="preserve">Spot VMs / Preemptible: cost-optimized node pools</w:t>
      </w:r>
    </w:p>
    <w:p>
      <w:pPr>
        <w:pStyle w:val="ListParagraph"/>
        <w:numPr>
          <w:ilvl w:val="0"/>
          <w:numId w:val="2"/>
        </w:numPr>
        <w:spacing w:after="40" w:before="40"/>
      </w:pPr>
      <w:r>
        <w:rPr>
          <w:rFonts w:ascii="Arial" w:cs="Arial" w:eastAsia="Arial" w:hAnsi="Arial"/>
          <w:color w:val="1A1A1A"/>
          <w:sz w:val="20"/>
          <w:szCs w:val="20"/>
        </w:rPr>
        <w:t xml:space="preserve">GKE Autopilot: serverless K8s where you pay per pod, not node</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Azure (AKS)</w:t>
      </w:r>
    </w:p>
    <w:p>
      <w:pPr>
        <w:pStyle w:val="ListParagraph"/>
        <w:numPr>
          <w:ilvl w:val="0"/>
          <w:numId w:val="2"/>
        </w:numPr>
        <w:spacing w:after="40" w:before="40"/>
      </w:pPr>
      <w:r>
        <w:rPr>
          <w:rFonts w:ascii="Arial" w:cs="Arial" w:eastAsia="Arial" w:hAnsi="Arial"/>
          <w:color w:val="1A1A1A"/>
          <w:sz w:val="20"/>
          <w:szCs w:val="20"/>
        </w:rPr>
        <w:t xml:space="preserve">Azure Cost Management + Billing: filter by AKS cluster and node pool</w:t>
      </w:r>
    </w:p>
    <w:p>
      <w:pPr>
        <w:pStyle w:val="ListParagraph"/>
        <w:numPr>
          <w:ilvl w:val="0"/>
          <w:numId w:val="2"/>
        </w:numPr>
        <w:spacing w:after="40" w:before="40"/>
      </w:pPr>
      <w:r>
        <w:rPr>
          <w:rFonts w:ascii="Arial" w:cs="Arial" w:eastAsia="Arial" w:hAnsi="Arial"/>
          <w:color w:val="1A1A1A"/>
          <w:sz w:val="20"/>
          <w:szCs w:val="20"/>
        </w:rPr>
        <w:t xml:space="preserve">Azure Advisor: right-sizing and reservation recommendations</w:t>
      </w:r>
    </w:p>
    <w:p>
      <w:pPr>
        <w:pStyle w:val="ListParagraph"/>
        <w:numPr>
          <w:ilvl w:val="0"/>
          <w:numId w:val="2"/>
        </w:numPr>
        <w:spacing w:after="40" w:before="40"/>
      </w:pPr>
      <w:r>
        <w:rPr>
          <w:rFonts w:ascii="Arial" w:cs="Arial" w:eastAsia="Arial" w:hAnsi="Arial"/>
          <w:color w:val="1A1A1A"/>
          <w:sz w:val="20"/>
          <w:szCs w:val="20"/>
        </w:rPr>
        <w:t xml:space="preserve">Azure Spot Nodes: up to 90% discount for interruptible workloads</w:t>
      </w:r>
    </w:p>
    <w:p>
      <w:pPr>
        <w:pStyle w:val="ListParagraph"/>
        <w:numPr>
          <w:ilvl w:val="0"/>
          <w:numId w:val="2"/>
        </w:numPr>
        <w:spacing w:after="40" w:before="40"/>
      </w:pPr>
      <w:r>
        <w:rPr>
          <w:rFonts w:ascii="Arial" w:cs="Arial" w:eastAsia="Arial" w:hAnsi="Arial"/>
          <w:color w:val="1A1A1A"/>
          <w:sz w:val="20"/>
          <w:szCs w:val="20"/>
        </w:rPr>
        <w:t xml:space="preserve">Azure Reserved VM Instances: 1–3 year savings for baseline nodes</w:t>
      </w:r>
    </w:p>
    <w:p>
      <w:pPr>
        <w:pStyle w:val="ListParagraph"/>
        <w:numPr>
          <w:ilvl w:val="0"/>
          <w:numId w:val="2"/>
        </w:numPr>
        <w:spacing w:after="40" w:before="40"/>
      </w:pPr>
      <w:r>
        <w:rPr>
          <w:rFonts w:ascii="Arial" w:cs="Arial" w:eastAsia="Arial" w:hAnsi="Arial"/>
          <w:color w:val="1A1A1A"/>
          <w:sz w:val="20"/>
          <w:szCs w:val="20"/>
        </w:rPr>
        <w:t xml:space="preserve">Container Insights (Azure Monitor): per-namespace cost allocation</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3. Resource Requests, Limits &amp; Right-Sizing</w:t>
      </w:r>
    </w:p>
    <w:p>
      <w:pPr>
        <w:spacing w:after="100" w:before="60"/>
      </w:pPr>
      <w:r>
        <w:rPr>
          <w:rFonts w:ascii="Arial" w:cs="Arial" w:eastAsia="Arial" w:hAnsi="Arial"/>
          <w:b w:val="false"/>
          <w:bCs w:val="false"/>
          <w:i w:val="false"/>
          <w:iCs w:val="false"/>
          <w:color w:val="1A1A1A"/>
          <w:sz w:val="20"/>
          <w:szCs w:val="20"/>
        </w:rPr>
        <w:t xml:space="preserve">Kubernetes resource requests and limits are the primary levers for controlling both performance and cost. Incorrect configuration is the single biggest source of waste in K8s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Resource Concept</w:t>
            </w:r>
          </w:p>
        </w:tc>
        <w:tc>
          <w:tcPr>
            <w:tcW w:type="dxa" w:w="34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34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FinOps Consideration</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CPU Request</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Guaranteed CPU cores scheduled on node</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Too low → throttling; too high → waste &amp; poor bin-packing</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CPU Limit</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Hard cap; container throttled if exceeded</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Over-provisioning leads to idle CPU; under → performance issues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Memory Request</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Guaranteed RAM allocation for scheduling</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Too high → fragmented nodes, low utilization</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Memory Limit</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Container OOMKilled if exceeded</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Set too low → instability; too high → noisy-neighbour risk</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LimitRange</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Namespace-scoped defaults and max/min</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Enforces sensible defaults; prevents runaway pods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ResourceQuota</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Namespace-level aggregate limits</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Enforces chargeback boundaries; prevents quota sprawl</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VPA (Vertical)</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Automatically adjusts requests/limits</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Requires restart; use in recommendation mode first</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HPA (Horizontal)</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Scales pod replicas on CPU/mem/custom metrics</w:t>
            </w:r>
          </w:p>
        </w:tc>
        <w:tc>
          <w:tcPr>
            <w:tcW w:type="dxa" w:w="34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Requires proper requests to trigger correctly</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KEDA</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Event-driven autoscaling (queues, events)</w:t>
            </w:r>
          </w:p>
        </w:tc>
        <w:tc>
          <w:tcPr>
            <w:tcW w:type="dxa" w:w="34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Scales-to-zero for cost savings on idle workloads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3.1 Right-Sizing Best Practices</w:t>
      </w:r>
    </w:p>
    <w:p>
      <w:pPr>
        <w:spacing w:after="100" w:before="60"/>
      </w:pPr>
      <w:r>
        <w:rPr>
          <w:rFonts w:ascii="Arial" w:cs="Arial" w:eastAsia="Arial" w:hAnsi="Arial"/>
          <w:b w:val="false"/>
          <w:bCs w:val="false"/>
          <w:i w:val="false"/>
          <w:iCs w:val="false"/>
          <w:color w:val="1A1A1A"/>
          <w:sz w:val="20"/>
          <w:szCs w:val="20"/>
        </w:rPr>
        <w:t xml:space="preserve">The right-sizing process should be continuous, not a one-time exercise:</w:t>
      </w:r>
    </w:p>
    <w:p>
      <w:pPr>
        <w:spacing w:after="60" w:before="60"/>
      </w:pPr>
      <w:r>
        <w:t xml:space="preserve"/>
      </w:r>
    </w:p>
    <w:p>
      <w:pPr>
        <w:pStyle w:val="ListParagraph"/>
        <w:numPr>
          <w:ilvl w:val="0"/>
          <w:numId w:val="3"/>
        </w:numPr>
        <w:spacing w:after="40" w:before="40"/>
      </w:pPr>
      <w:r>
        <w:rPr>
          <w:rFonts w:ascii="Arial" w:cs="Arial" w:eastAsia="Arial" w:hAnsi="Arial"/>
          <w:color w:val="1A1A1A"/>
          <w:sz w:val="20"/>
          <w:szCs w:val="20"/>
        </w:rPr>
        <w:t xml:space="preserve">Baseline measurement: collect 2–4 weeks of actual usage data via Prometheus/VPA</w:t>
      </w:r>
    </w:p>
    <w:p>
      <w:pPr>
        <w:pStyle w:val="ListParagraph"/>
        <w:numPr>
          <w:ilvl w:val="0"/>
          <w:numId w:val="3"/>
        </w:numPr>
        <w:spacing w:after="40" w:before="40"/>
      </w:pPr>
      <w:r>
        <w:rPr>
          <w:rFonts w:ascii="Arial" w:cs="Arial" w:eastAsia="Arial" w:hAnsi="Arial"/>
          <w:color w:val="1A1A1A"/>
          <w:sz w:val="20"/>
          <w:szCs w:val="20"/>
        </w:rPr>
        <w:t xml:space="preserve">Set requests at P95 actual usage (not P100) to avoid extreme outlier padding</w:t>
      </w:r>
    </w:p>
    <w:p>
      <w:pPr>
        <w:pStyle w:val="ListParagraph"/>
        <w:numPr>
          <w:ilvl w:val="0"/>
          <w:numId w:val="3"/>
        </w:numPr>
        <w:spacing w:after="40" w:before="40"/>
      </w:pPr>
      <w:r>
        <w:rPr>
          <w:rFonts w:ascii="Arial" w:cs="Arial" w:eastAsia="Arial" w:hAnsi="Arial"/>
          <w:color w:val="1A1A1A"/>
          <w:sz w:val="20"/>
          <w:szCs w:val="20"/>
        </w:rPr>
        <w:t xml:space="preserve">Set limits at 2–3x requests for burst headroom</w:t>
      </w:r>
    </w:p>
    <w:p>
      <w:pPr>
        <w:pStyle w:val="ListParagraph"/>
        <w:numPr>
          <w:ilvl w:val="0"/>
          <w:numId w:val="3"/>
        </w:numPr>
        <w:spacing w:after="40" w:before="40"/>
      </w:pPr>
      <w:r>
        <w:rPr>
          <w:rFonts w:ascii="Arial" w:cs="Arial" w:eastAsia="Arial" w:hAnsi="Arial"/>
          <w:color w:val="1A1A1A"/>
          <w:sz w:val="20"/>
          <w:szCs w:val="20"/>
        </w:rPr>
        <w:t xml:space="preserve">Use VPA in recommendation mode first; validate before enforcement</w:t>
      </w:r>
    </w:p>
    <w:p>
      <w:pPr>
        <w:pStyle w:val="ListParagraph"/>
        <w:numPr>
          <w:ilvl w:val="0"/>
          <w:numId w:val="3"/>
        </w:numPr>
        <w:spacing w:after="40" w:before="40"/>
      </w:pPr>
      <w:r>
        <w:rPr>
          <w:rFonts w:ascii="Arial" w:cs="Arial" w:eastAsia="Arial" w:hAnsi="Arial"/>
          <w:color w:val="1A1A1A"/>
          <w:sz w:val="20"/>
          <w:szCs w:val="20"/>
        </w:rPr>
        <w:t xml:space="preserve">Review right-sizing monthly or after any significant workload change</w:t>
      </w:r>
    </w:p>
    <w:p>
      <w:pPr>
        <w:spacing w:after="60" w:before="60"/>
      </w:pPr>
      <w:r>
        <w:t xml:space="preserve"/>
      </w:r>
    </w:p>
    <w:p>
      <w:pPr>
        <w:pBdr>
          <w:left w:val="single" w:color="2E75B6" w:sz="16" w:space="8"/>
        </w:pBdr>
        <w:shd w:fill="DEEAF1" w:val="clear"/>
        <w:spacing w:after="120" w:before="120"/>
        <w:ind w:left="360"/>
      </w:pPr>
      <w:r>
        <w:rPr>
          <w:rFonts w:ascii="Arial" w:cs="Arial" w:eastAsia="Arial" w:hAnsi="Arial"/>
          <w:i/>
          <w:iCs/>
          <w:color w:val="1A1A1A"/>
          <w:sz w:val="20"/>
          <w:szCs w:val="20"/>
        </w:rPr>
        <w:t xml:space="preserve">Rule of thumb: if actual CPU usage is consistently below 30% of requested, the workload is a candidate for right-sizing. Memory: below 50% utilization is a strong signal.</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3.2 Vertical Pod Autoscaler (VPA)</w:t>
      </w:r>
    </w:p>
    <w:p>
      <w:pPr>
        <w:spacing w:after="100" w:before="60"/>
      </w:pPr>
      <w:r>
        <w:rPr>
          <w:rFonts w:ascii="Arial" w:cs="Arial" w:eastAsia="Arial" w:hAnsi="Arial"/>
          <w:b w:val="false"/>
          <w:bCs w:val="false"/>
          <w:i w:val="false"/>
          <w:iCs w:val="false"/>
          <w:color w:val="1A1A1A"/>
          <w:sz w:val="20"/>
          <w:szCs w:val="20"/>
        </w:rPr>
        <w:t xml:space="preserve">VPA automatically adjusts CPU and memory requests for pods based on historical usage. Deploy in three modes:</w:t>
      </w:r>
    </w:p>
    <w:p>
      <w:pPr>
        <w:pStyle w:val="ListParagraph"/>
        <w:numPr>
          <w:ilvl w:val="0"/>
          <w:numId w:val="2"/>
        </w:numPr>
        <w:spacing w:after="40" w:before="40"/>
      </w:pPr>
      <w:r>
        <w:rPr>
          <w:rFonts w:ascii="Arial" w:cs="Arial" w:eastAsia="Arial" w:hAnsi="Arial"/>
          <w:color w:val="1A1A1A"/>
          <w:sz w:val="20"/>
          <w:szCs w:val="20"/>
        </w:rPr>
        <w:t xml:space="preserve">Off: recommendations generated but not applied (safe starting point)</w:t>
      </w:r>
    </w:p>
    <w:p>
      <w:pPr>
        <w:pStyle w:val="ListParagraph"/>
        <w:numPr>
          <w:ilvl w:val="0"/>
          <w:numId w:val="2"/>
        </w:numPr>
        <w:spacing w:after="40" w:before="40"/>
      </w:pPr>
      <w:r>
        <w:rPr>
          <w:rFonts w:ascii="Arial" w:cs="Arial" w:eastAsia="Arial" w:hAnsi="Arial"/>
          <w:color w:val="1A1A1A"/>
          <w:sz w:val="20"/>
          <w:szCs w:val="20"/>
        </w:rPr>
        <w:t xml:space="preserve">Initial: apply recommendations only at pod startup</w:t>
      </w:r>
    </w:p>
    <w:p>
      <w:pPr>
        <w:pStyle w:val="ListParagraph"/>
        <w:numPr>
          <w:ilvl w:val="0"/>
          <w:numId w:val="2"/>
        </w:numPr>
        <w:spacing w:after="40" w:before="40"/>
      </w:pPr>
      <w:r>
        <w:rPr>
          <w:rFonts w:ascii="Arial" w:cs="Arial" w:eastAsia="Arial" w:hAnsi="Arial"/>
          <w:color w:val="1A1A1A"/>
          <w:sz w:val="20"/>
          <w:szCs w:val="20"/>
        </w:rPr>
        <w:t xml:space="preserve">Auto: continuously update requests (may cause pod restarts)</w:t>
      </w:r>
    </w:p>
    <w:p>
      <w:pPr>
        <w:spacing w:after="60" w:before="60"/>
      </w:pPr>
      <w:r>
        <w:t xml:space="preserve"/>
      </w:r>
    </w:p>
    <w:p>
      <w:pPr>
        <w:shd w:fill="1A1A2E" w:val="clear"/>
        <w:spacing w:after="80" w:before="80"/>
      </w:pPr>
      <w:r>
        <w:rPr>
          <w:rFonts w:ascii="Courier New" w:cs="Courier New" w:eastAsia="Courier New" w:hAnsi="Courier New"/>
          <w:color w:val="00FF88"/>
          <w:sz w:val="17"/>
          <w:szCs w:val="17"/>
        </w:rPr>
        <w:t xml:space="preserve">apiVersion: autoscaling.k8s.io/v1
kind: VerticalPodAutoscaler
metadata:
  name: myapp-vpa
spec:
  targetRef:
    apiVersion: "apps/v1"
    kind: Deployment
    name: myapp
  updatePolicy:
    updateMode: "Off"  # Start with recommendations only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3.3 Horizontal Pod Autoscaler (HPA)</w:t>
      </w:r>
    </w:p>
    <w:p>
      <w:pPr>
        <w:spacing w:after="100" w:before="60"/>
      </w:pPr>
      <w:r>
        <w:rPr>
          <w:rFonts w:ascii="Arial" w:cs="Arial" w:eastAsia="Arial" w:hAnsi="Arial"/>
          <w:b w:val="false"/>
          <w:bCs w:val="false"/>
          <w:i w:val="false"/>
          <w:iCs w:val="false"/>
          <w:color w:val="1A1A1A"/>
          <w:sz w:val="20"/>
          <w:szCs w:val="20"/>
        </w:rPr>
        <w:t xml:space="preserve">HPA scales the number of pod replicas based on observed metrics. For FinOps, HPA prevents both under-scaling (availability risk) and over-scaling (cost waste):</w:t>
      </w:r>
    </w:p>
    <w:p>
      <w:pPr>
        <w:pStyle w:val="ListParagraph"/>
        <w:numPr>
          <w:ilvl w:val="0"/>
          <w:numId w:val="2"/>
        </w:numPr>
        <w:spacing w:after="40" w:before="40"/>
      </w:pPr>
      <w:r>
        <w:rPr>
          <w:rFonts w:ascii="Arial" w:cs="Arial" w:eastAsia="Arial" w:hAnsi="Arial"/>
          <w:color w:val="1A1A1A"/>
          <w:sz w:val="20"/>
          <w:szCs w:val="20"/>
        </w:rPr>
        <w:t xml:space="preserve">Always define resource requests before enabling HPA (required for CPU-based scaling)</w:t>
      </w:r>
    </w:p>
    <w:p>
      <w:pPr>
        <w:pStyle w:val="ListParagraph"/>
        <w:numPr>
          <w:ilvl w:val="0"/>
          <w:numId w:val="2"/>
        </w:numPr>
        <w:spacing w:after="40" w:before="40"/>
      </w:pPr>
      <w:r>
        <w:rPr>
          <w:rFonts w:ascii="Arial" w:cs="Arial" w:eastAsia="Arial" w:hAnsi="Arial"/>
          <w:color w:val="1A1A1A"/>
          <w:sz w:val="20"/>
          <w:szCs w:val="20"/>
        </w:rPr>
        <w:t xml:space="preserve">Use custom metrics (Prometheus Adapter, KEDA) for business-logic-driven scaling</w:t>
      </w:r>
    </w:p>
    <w:p>
      <w:pPr>
        <w:pStyle w:val="ListParagraph"/>
        <w:numPr>
          <w:ilvl w:val="0"/>
          <w:numId w:val="2"/>
        </w:numPr>
        <w:spacing w:after="40" w:before="40"/>
      </w:pPr>
      <w:r>
        <w:rPr>
          <w:rFonts w:ascii="Arial" w:cs="Arial" w:eastAsia="Arial" w:hAnsi="Arial"/>
          <w:color w:val="1A1A1A"/>
          <w:sz w:val="20"/>
          <w:szCs w:val="20"/>
        </w:rPr>
        <w:t xml:space="preserve">Set appropriate minReplicas to avoid scale-to-zero issues in non-KEDA setups</w:t>
      </w:r>
    </w:p>
    <w:p>
      <w:pPr>
        <w:pStyle w:val="ListParagraph"/>
        <w:numPr>
          <w:ilvl w:val="0"/>
          <w:numId w:val="2"/>
        </w:numPr>
        <w:spacing w:after="40" w:before="40"/>
      </w:pPr>
      <w:r>
        <w:rPr>
          <w:rFonts w:ascii="Arial" w:cs="Arial" w:eastAsia="Arial" w:hAnsi="Arial"/>
          <w:color w:val="1A1A1A"/>
          <w:sz w:val="20"/>
          <w:szCs w:val="20"/>
        </w:rPr>
        <w:t xml:space="preserve">Monitor actual replica counts over time to validate HPA behavior</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3.4 KEDA – Event-Driven Autoscaling</w:t>
      </w:r>
    </w:p>
    <w:p>
      <w:pPr>
        <w:spacing w:after="100" w:before="60"/>
      </w:pPr>
      <w:r>
        <w:rPr>
          <w:rFonts w:ascii="Arial" w:cs="Arial" w:eastAsia="Arial" w:hAnsi="Arial"/>
          <w:b w:val="false"/>
          <w:bCs w:val="false"/>
          <w:i w:val="false"/>
          <w:iCs w:val="false"/>
          <w:color w:val="1A1A1A"/>
          <w:sz w:val="20"/>
          <w:szCs w:val="20"/>
        </w:rPr>
        <w:t xml:space="preserve">KEDA (Kubernetes Event-Driven Autoscaling) extends HPA to support scale-to-zero and event-based triggers, enabling significant cost savings for async and batch workloads:</w:t>
      </w:r>
    </w:p>
    <w:p>
      <w:pPr>
        <w:pStyle w:val="ListParagraph"/>
        <w:numPr>
          <w:ilvl w:val="0"/>
          <w:numId w:val="2"/>
        </w:numPr>
        <w:spacing w:after="40" w:before="40"/>
      </w:pPr>
      <w:r>
        <w:rPr>
          <w:rFonts w:ascii="Arial" w:cs="Arial" w:eastAsia="Arial" w:hAnsi="Arial"/>
          <w:color w:val="1A1A1A"/>
          <w:sz w:val="20"/>
          <w:szCs w:val="20"/>
        </w:rPr>
        <w:t xml:space="preserve">60+ built-in scalers: Kafka, RabbitMQ, Azure Service Bus, SQS, Redis, Prometheus, cron</w:t>
      </w:r>
    </w:p>
    <w:p>
      <w:pPr>
        <w:pStyle w:val="ListParagraph"/>
        <w:numPr>
          <w:ilvl w:val="0"/>
          <w:numId w:val="2"/>
        </w:numPr>
        <w:spacing w:after="40" w:before="40"/>
      </w:pPr>
      <w:r>
        <w:rPr>
          <w:rFonts w:ascii="Arial" w:cs="Arial" w:eastAsia="Arial" w:hAnsi="Arial"/>
          <w:color w:val="1A1A1A"/>
          <w:sz w:val="20"/>
          <w:szCs w:val="20"/>
        </w:rPr>
        <w:t xml:space="preserve">Scale-to-zero: eliminate idle pod costs entirely for non-continuous workloads</w:t>
      </w:r>
    </w:p>
    <w:p>
      <w:pPr>
        <w:pStyle w:val="ListParagraph"/>
        <w:numPr>
          <w:ilvl w:val="0"/>
          <w:numId w:val="2"/>
        </w:numPr>
        <w:spacing w:after="40" w:before="40"/>
      </w:pPr>
      <w:r>
        <w:rPr>
          <w:rFonts w:ascii="Arial" w:cs="Arial" w:eastAsia="Arial" w:hAnsi="Arial"/>
          <w:color w:val="1A1A1A"/>
          <w:sz w:val="20"/>
          <w:szCs w:val="20"/>
        </w:rPr>
        <w:t xml:space="preserve">Especially valuable for batch jobs, ML inference endpoints, and ETL pipelines</w:t>
      </w:r>
    </w:p>
    <w:p>
      <w:pPr>
        <w:pStyle w:val="ListParagraph"/>
        <w:numPr>
          <w:ilvl w:val="0"/>
          <w:numId w:val="2"/>
        </w:numPr>
        <w:spacing w:after="40" w:before="40"/>
      </w:pPr>
      <w:r>
        <w:rPr>
          <w:rFonts w:ascii="Arial" w:cs="Arial" w:eastAsia="Arial" w:hAnsi="Arial"/>
          <w:color w:val="1A1A1A"/>
          <w:sz w:val="20"/>
          <w:szCs w:val="20"/>
        </w:rPr>
        <w:t xml:space="preserve">Works in both cloud and on-premises environments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3.5 Goldilocks – Visual Right-Sizing Recommendations</w:t>
      </w:r>
    </w:p>
    <w:p>
      <w:pPr>
        <w:spacing w:after="100" w:before="60"/>
      </w:pPr>
      <w:r>
        <w:rPr>
          <w:rFonts w:ascii="Arial" w:cs="Arial" w:eastAsia="Arial" w:hAnsi="Arial"/>
          <w:b w:val="false"/>
          <w:bCs w:val="false"/>
          <w:i w:val="false"/>
          <w:iCs w:val="false"/>
          <w:color w:val="1A1A1A"/>
          <w:sz w:val="20"/>
          <w:szCs w:val="20"/>
        </w:rPr>
        <w:t xml:space="preserve">Goldilocks is an open-source tool that uses VPA in recommendation mode and presents findings in a user-friendly dashboard. Teams can review their namespace's recommended requests and limits without writing any YAML.</w:t>
      </w:r>
    </w:p>
    <w:p>
      <w:pPr>
        <w:pStyle w:val="ListParagraph"/>
        <w:numPr>
          <w:ilvl w:val="0"/>
          <w:numId w:val="2"/>
        </w:numPr>
        <w:spacing w:after="40" w:before="40"/>
      </w:pPr>
      <w:r>
        <w:rPr>
          <w:rFonts w:ascii="Arial" w:cs="Arial" w:eastAsia="Arial" w:hAnsi="Arial"/>
          <w:color w:val="1A1A1A"/>
          <w:sz w:val="20"/>
          <w:szCs w:val="20"/>
        </w:rPr>
        <w:t xml:space="preserve">Install via Helm: namespace-level recommendations</w:t>
      </w:r>
    </w:p>
    <w:p>
      <w:pPr>
        <w:pStyle w:val="ListParagraph"/>
        <w:numPr>
          <w:ilvl w:val="0"/>
          <w:numId w:val="2"/>
        </w:numPr>
        <w:spacing w:after="40" w:before="40"/>
      </w:pPr>
      <w:r>
        <w:rPr>
          <w:rFonts w:ascii="Arial" w:cs="Arial" w:eastAsia="Arial" w:hAnsi="Arial"/>
          <w:color w:val="1A1A1A"/>
          <w:sz w:val="20"/>
          <w:szCs w:val="20"/>
        </w:rPr>
        <w:t xml:space="preserve">Integrates into developer workflow for self-service cost optimization</w:t>
      </w:r>
    </w:p>
    <w:p>
      <w:pPr>
        <w:pStyle w:val="ListParagraph"/>
        <w:numPr>
          <w:ilvl w:val="0"/>
          <w:numId w:val="2"/>
        </w:numPr>
        <w:spacing w:after="40" w:before="40"/>
      </w:pPr>
      <w:r>
        <w:rPr>
          <w:rFonts w:ascii="Arial" w:cs="Arial" w:eastAsia="Arial" w:hAnsi="Arial"/>
          <w:color w:val="1A1A1A"/>
          <w:sz w:val="20"/>
          <w:szCs w:val="20"/>
        </w:rPr>
        <w:t xml:space="preserve">Produces Kubernetes-ready YAML patches for direct application</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4. Node Efficiency &amp; Cluster Autoscaling</w:t>
      </w:r>
    </w:p>
    <w:p>
      <w:pPr>
        <w:spacing w:after="100" w:before="60"/>
      </w:pPr>
      <w:r>
        <w:rPr>
          <w:rFonts w:ascii="Arial" w:cs="Arial" w:eastAsia="Arial" w:hAnsi="Arial"/>
          <w:b w:val="false"/>
          <w:bCs w:val="false"/>
          <w:i w:val="false"/>
          <w:iCs w:val="false"/>
          <w:color w:val="1A1A1A"/>
          <w:sz w:val="20"/>
          <w:szCs w:val="20"/>
        </w:rPr>
        <w:t xml:space="preserve">Node costs are typically the largest component of a Kubernetes bill. Optimizing node utilization and automating node provisioning delivers the highest absolute cost savings.</w:t>
      </w:r>
    </w:p>
    <w:p>
      <w:pPr>
        <w:pStyle w:val="Heading2"/>
        <w:spacing w:after="120" w:before="280"/>
      </w:pPr>
      <w:r>
        <w:rPr>
          <w:rFonts w:ascii="Arial" w:cs="Arial" w:eastAsia="Arial" w:hAnsi="Arial"/>
          <w:b/>
          <w:bCs/>
          <w:color w:val="2E75B6"/>
          <w:sz w:val="28"/>
          <w:szCs w:val="28"/>
        </w:rPr>
        <w:t xml:space="preserve">4.1 Cluster Autoscaler</w:t>
      </w:r>
    </w:p>
    <w:p>
      <w:pPr>
        <w:spacing w:after="100" w:before="60"/>
      </w:pPr>
      <w:r>
        <w:rPr>
          <w:rFonts w:ascii="Arial" w:cs="Arial" w:eastAsia="Arial" w:hAnsi="Arial"/>
          <w:b w:val="false"/>
          <w:bCs w:val="false"/>
          <w:i w:val="false"/>
          <w:iCs w:val="false"/>
          <w:color w:val="1A1A1A"/>
          <w:sz w:val="20"/>
          <w:szCs w:val="20"/>
        </w:rPr>
        <w:t xml:space="preserve">Cluster Autoscaler (CA) automatically adjusts the number of nodes in a cluster based on pod scheduling needs:</w:t>
      </w:r>
    </w:p>
    <w:p>
      <w:pPr>
        <w:pStyle w:val="ListParagraph"/>
        <w:numPr>
          <w:ilvl w:val="0"/>
          <w:numId w:val="2"/>
        </w:numPr>
        <w:spacing w:after="40" w:before="40"/>
      </w:pPr>
      <w:r>
        <w:rPr>
          <w:rFonts w:ascii="Arial" w:cs="Arial" w:eastAsia="Arial" w:hAnsi="Arial"/>
          <w:color w:val="1A1A1A"/>
          <w:sz w:val="20"/>
          <w:szCs w:val="20"/>
        </w:rPr>
        <w:t xml:space="preserve">Scales up when pods are Pending due to insufficient resources</w:t>
      </w:r>
    </w:p>
    <w:p>
      <w:pPr>
        <w:pStyle w:val="ListParagraph"/>
        <w:numPr>
          <w:ilvl w:val="0"/>
          <w:numId w:val="2"/>
        </w:numPr>
        <w:spacing w:after="40" w:before="40"/>
      </w:pPr>
      <w:r>
        <w:rPr>
          <w:rFonts w:ascii="Arial" w:cs="Arial" w:eastAsia="Arial" w:hAnsi="Arial"/>
          <w:color w:val="1A1A1A"/>
          <w:sz w:val="20"/>
          <w:szCs w:val="20"/>
        </w:rPr>
        <w:t xml:space="preserve">Scales down when nodes are underutilized (default threshold: 50%) for 10+ minutes</w:t>
      </w:r>
    </w:p>
    <w:p>
      <w:pPr>
        <w:pStyle w:val="ListParagraph"/>
        <w:numPr>
          <w:ilvl w:val="0"/>
          <w:numId w:val="2"/>
        </w:numPr>
        <w:spacing w:after="40" w:before="40"/>
      </w:pPr>
      <w:r>
        <w:rPr>
          <w:rFonts w:ascii="Arial" w:cs="Arial" w:eastAsia="Arial" w:hAnsi="Arial"/>
          <w:color w:val="1A1A1A"/>
          <w:sz w:val="20"/>
          <w:szCs w:val="20"/>
        </w:rPr>
        <w:t xml:space="preserve">Works with AWS ASGs, GCP MIGs, Azure VMSS, and on-premises providers (cluster-api)</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On-Premises Configuration</w:t>
      </w:r>
    </w:p>
    <w:p>
      <w:pPr>
        <w:spacing w:after="100" w:before="60"/>
      </w:pPr>
      <w:r>
        <w:rPr>
          <w:rFonts w:ascii="Arial" w:cs="Arial" w:eastAsia="Arial" w:hAnsi="Arial"/>
          <w:b w:val="false"/>
          <w:bCs w:val="false"/>
          <w:i w:val="false"/>
          <w:iCs w:val="false"/>
          <w:color w:val="1A1A1A"/>
          <w:sz w:val="20"/>
          <w:szCs w:val="20"/>
        </w:rPr>
        <w:t xml:space="preserve">For on-premises clusters, CA can integrate with Cluster API or custom cloud providers. Key considerations:</w:t>
      </w:r>
    </w:p>
    <w:p>
      <w:pPr>
        <w:pStyle w:val="ListParagraph"/>
        <w:numPr>
          <w:ilvl w:val="0"/>
          <w:numId w:val="2"/>
        </w:numPr>
        <w:spacing w:after="40" w:before="40"/>
      </w:pPr>
      <w:r>
        <w:rPr>
          <w:rFonts w:ascii="Arial" w:cs="Arial" w:eastAsia="Arial" w:hAnsi="Arial"/>
          <w:color w:val="1A1A1A"/>
          <w:sz w:val="20"/>
          <w:szCs w:val="20"/>
        </w:rPr>
        <w:t xml:space="preserve">Hardware provisioning lead times are longer than cloud; set conservative scale-up policies</w:t>
      </w:r>
    </w:p>
    <w:p>
      <w:pPr>
        <w:pStyle w:val="ListParagraph"/>
        <w:numPr>
          <w:ilvl w:val="0"/>
          <w:numId w:val="2"/>
        </w:numPr>
        <w:spacing w:after="40" w:before="40"/>
      </w:pPr>
      <w:r>
        <w:rPr>
          <w:rFonts w:ascii="Arial" w:cs="Arial" w:eastAsia="Arial" w:hAnsi="Arial"/>
          <w:color w:val="1A1A1A"/>
          <w:sz w:val="20"/>
          <w:szCs w:val="20"/>
        </w:rPr>
        <w:t xml:space="preserve">Drain and decommission underutilized nodes to physical power-off for real savings</w:t>
      </w:r>
    </w:p>
    <w:p>
      <w:pPr>
        <w:pStyle w:val="ListParagraph"/>
        <w:numPr>
          <w:ilvl w:val="0"/>
          <w:numId w:val="2"/>
        </w:numPr>
        <w:spacing w:after="40" w:before="40"/>
      </w:pPr>
      <w:r>
        <w:rPr>
          <w:rFonts w:ascii="Arial" w:cs="Arial" w:eastAsia="Arial" w:hAnsi="Arial"/>
          <w:color w:val="1A1A1A"/>
          <w:sz w:val="20"/>
          <w:szCs w:val="20"/>
        </w:rPr>
        <w:t xml:space="preserve">Integrate with IPAM and bare-metal provisioning tools (Tinkerbell, MAAS, Ironic)</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4.2 Karpenter (Cloud)</w:t>
      </w:r>
    </w:p>
    <w:p>
      <w:pPr>
        <w:spacing w:after="100" w:before="60"/>
      </w:pPr>
      <w:r>
        <w:rPr>
          <w:rFonts w:ascii="Arial" w:cs="Arial" w:eastAsia="Arial" w:hAnsi="Arial"/>
          <w:b w:val="false"/>
          <w:bCs w:val="false"/>
          <w:i w:val="false"/>
          <w:iCs w:val="false"/>
          <w:color w:val="1A1A1A"/>
          <w:sz w:val="20"/>
          <w:szCs w:val="20"/>
        </w:rPr>
        <w:t xml:space="preserve">Karpenter is an open-source node provisioner for Kubernetes, originally developed by AWS. It offers significant advantages over Cluster Autoscaler for cloud environments:</w:t>
      </w:r>
    </w:p>
    <w:p>
      <w:pPr>
        <w:pStyle w:val="ListParagraph"/>
        <w:numPr>
          <w:ilvl w:val="0"/>
          <w:numId w:val="2"/>
        </w:numPr>
        <w:spacing w:after="40" w:before="40"/>
      </w:pPr>
      <w:r>
        <w:rPr>
          <w:rFonts w:ascii="Arial" w:cs="Arial" w:eastAsia="Arial" w:hAnsi="Arial"/>
          <w:color w:val="1A1A1A"/>
          <w:sz w:val="20"/>
          <w:szCs w:val="20"/>
        </w:rPr>
        <w:t xml:space="preserve">Just-in-time node provisioning: provisions the cheapest node that fits pending pods</w:t>
      </w:r>
    </w:p>
    <w:p>
      <w:pPr>
        <w:pStyle w:val="ListParagraph"/>
        <w:numPr>
          <w:ilvl w:val="0"/>
          <w:numId w:val="2"/>
        </w:numPr>
        <w:spacing w:after="40" w:before="40"/>
      </w:pPr>
      <w:r>
        <w:rPr>
          <w:rFonts w:ascii="Arial" w:cs="Arial" w:eastAsia="Arial" w:hAnsi="Arial"/>
          <w:color w:val="1A1A1A"/>
          <w:sz w:val="20"/>
          <w:szCs w:val="20"/>
        </w:rPr>
        <w:t xml:space="preserve">Spot/on-demand mixing: automatically selects cheapest available capacity</w:t>
      </w:r>
    </w:p>
    <w:p>
      <w:pPr>
        <w:pStyle w:val="ListParagraph"/>
        <w:numPr>
          <w:ilvl w:val="0"/>
          <w:numId w:val="2"/>
        </w:numPr>
        <w:spacing w:after="40" w:before="40"/>
      </w:pPr>
      <w:r>
        <w:rPr>
          <w:rFonts w:ascii="Arial" w:cs="Arial" w:eastAsia="Arial" w:hAnsi="Arial"/>
          <w:color w:val="1A1A1A"/>
          <w:sz w:val="20"/>
          <w:szCs w:val="20"/>
        </w:rPr>
        <w:t xml:space="preserve">Consolidation: actively replaces underutilized nodes with fewer, larger ones</w:t>
      </w:r>
    </w:p>
    <w:p>
      <w:pPr>
        <w:pStyle w:val="ListParagraph"/>
        <w:numPr>
          <w:ilvl w:val="0"/>
          <w:numId w:val="2"/>
        </w:numPr>
        <w:spacing w:after="40" w:before="40"/>
      </w:pPr>
      <w:r>
        <w:rPr>
          <w:rFonts w:ascii="Arial" w:cs="Arial" w:eastAsia="Arial" w:hAnsi="Arial"/>
          <w:color w:val="1A1A1A"/>
          <w:sz w:val="20"/>
          <w:szCs w:val="20"/>
        </w:rPr>
        <w:t xml:space="preserve">ARM/Graviton support: automatically selects cost-efficient architectures</w:t>
      </w:r>
    </w:p>
    <w:p>
      <w:pPr>
        <w:spacing w:after="60" w:before="60"/>
      </w:pPr>
      <w:r>
        <w:t xml:space="preserve"/>
      </w:r>
    </w:p>
    <w:p>
      <w:pPr>
        <w:pBdr>
          <w:left w:val="single" w:color="2E75B6" w:sz="16" w:space="8"/>
        </w:pBdr>
        <w:shd w:fill="DEEAF1" w:val="clear"/>
        <w:spacing w:after="120" w:before="120"/>
        <w:ind w:left="360"/>
      </w:pPr>
      <w:r>
        <w:rPr>
          <w:rFonts w:ascii="Arial" w:cs="Arial" w:eastAsia="Arial" w:hAnsi="Arial"/>
          <w:i/>
          <w:iCs/>
          <w:color w:val="1A1A1A"/>
          <w:sz w:val="20"/>
          <w:szCs w:val="20"/>
        </w:rPr>
        <w:t xml:space="preserve">Karpenter's consolidation feature alone typically delivers 15–30% additional savings vs Cluster Autoscaler by continuously re-packing workloads onto fewer nodes.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4.3 Spot / Preemptible Instances</w:t>
      </w:r>
    </w:p>
    <w:p>
      <w:pPr>
        <w:spacing w:after="100" w:before="60"/>
      </w:pPr>
      <w:r>
        <w:rPr>
          <w:rFonts w:ascii="Arial" w:cs="Arial" w:eastAsia="Arial" w:hAnsi="Arial"/>
          <w:b w:val="false"/>
          <w:bCs w:val="false"/>
          <w:i w:val="false"/>
          <w:iCs w:val="false"/>
          <w:color w:val="1A1A1A"/>
          <w:sz w:val="20"/>
          <w:szCs w:val="20"/>
        </w:rPr>
        <w:t xml:space="preserve">Spot instances (AWS), Preemptible VMs (GCP), and Spot VMs (Azure) offer 60–90% discounts but can be reclaimed with short notice. FinOps best practices:</w:t>
      </w:r>
    </w:p>
    <w:p>
      <w:pPr>
        <w:pStyle w:val="ListParagraph"/>
        <w:numPr>
          <w:ilvl w:val="0"/>
          <w:numId w:val="2"/>
        </w:numPr>
        <w:spacing w:after="40" w:before="40"/>
      </w:pPr>
      <w:r>
        <w:rPr>
          <w:rFonts w:ascii="Arial" w:cs="Arial" w:eastAsia="Arial" w:hAnsi="Arial"/>
          <w:color w:val="1A1A1A"/>
          <w:sz w:val="20"/>
          <w:szCs w:val="20"/>
        </w:rPr>
        <w:t xml:space="preserve">Use spot for stateless, fault-tolerant, and batch workloads</w:t>
      </w:r>
    </w:p>
    <w:p>
      <w:pPr>
        <w:pStyle w:val="ListParagraph"/>
        <w:numPr>
          <w:ilvl w:val="0"/>
          <w:numId w:val="2"/>
        </w:numPr>
        <w:spacing w:after="40" w:before="40"/>
      </w:pPr>
      <w:r>
        <w:rPr>
          <w:rFonts w:ascii="Arial" w:cs="Arial" w:eastAsia="Arial" w:hAnsi="Arial"/>
          <w:color w:val="1A1A1A"/>
          <w:sz w:val="20"/>
          <w:szCs w:val="20"/>
        </w:rPr>
        <w:t xml:space="preserve">Mix spot and on-demand in node pools (70/30 ratio is common)</w:t>
      </w:r>
    </w:p>
    <w:p>
      <w:pPr>
        <w:pStyle w:val="ListParagraph"/>
        <w:numPr>
          <w:ilvl w:val="0"/>
          <w:numId w:val="2"/>
        </w:numPr>
        <w:spacing w:after="40" w:before="40"/>
      </w:pPr>
      <w:r>
        <w:rPr>
          <w:rFonts w:ascii="Arial" w:cs="Arial" w:eastAsia="Arial" w:hAnsi="Arial"/>
          <w:color w:val="1A1A1A"/>
          <w:sz w:val="20"/>
          <w:szCs w:val="20"/>
        </w:rPr>
        <w:t xml:space="preserve">Implement graceful disruption handling (PodDisruptionBudgets, terminationGracePeriodSeconds)</w:t>
      </w:r>
    </w:p>
    <w:p>
      <w:pPr>
        <w:pStyle w:val="ListParagraph"/>
        <w:numPr>
          <w:ilvl w:val="0"/>
          <w:numId w:val="2"/>
        </w:numPr>
        <w:spacing w:after="40" w:before="40"/>
      </w:pPr>
      <w:r>
        <w:rPr>
          <w:rFonts w:ascii="Arial" w:cs="Arial" w:eastAsia="Arial" w:hAnsi="Arial"/>
          <w:color w:val="1A1A1A"/>
          <w:sz w:val="20"/>
          <w:szCs w:val="20"/>
        </w:rPr>
        <w:t xml:space="preserve">Use node affinity and tolerations to control workload placement</w:t>
      </w:r>
    </w:p>
    <w:p>
      <w:pPr>
        <w:pStyle w:val="ListParagraph"/>
        <w:numPr>
          <w:ilvl w:val="0"/>
          <w:numId w:val="2"/>
        </w:numPr>
        <w:spacing w:after="40" w:before="40"/>
      </w:pPr>
      <w:r>
        <w:rPr>
          <w:rFonts w:ascii="Arial" w:cs="Arial" w:eastAsia="Arial" w:hAnsi="Arial"/>
          <w:color w:val="1A1A1A"/>
          <w:sz w:val="20"/>
          <w:szCs w:val="20"/>
        </w:rPr>
        <w:t xml:space="preserve">Monitor spot interruption rates and adjust strategies accordingly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4.4 Node Pool Design for Cost Optimization</w:t>
      </w:r>
    </w:p>
    <w:p>
      <w:pPr>
        <w:spacing w:after="100" w:before="60"/>
      </w:pPr>
      <w:r>
        <w:rPr>
          <w:rFonts w:ascii="Arial" w:cs="Arial" w:eastAsia="Arial" w:hAnsi="Arial"/>
          <w:b w:val="false"/>
          <w:bCs w:val="false"/>
          <w:i w:val="false"/>
          <w:iCs w:val="false"/>
          <w:color w:val="1A1A1A"/>
          <w:sz w:val="20"/>
          <w:szCs w:val="20"/>
        </w:rPr>
        <w:t xml:space="preserve">Design node pools around workload characteristics to maximize cost efficiency: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Node Pool Type</w:t>
            </w:r>
          </w:p>
        </w:tc>
        <w:tc>
          <w:tcPr>
            <w:tcW w:type="dxa" w:w="24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Instance Type</w:t>
            </w:r>
          </w:p>
        </w:tc>
        <w:tc>
          <w:tcPr>
            <w:tcW w:type="dxa" w:w="45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Workloads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General Purpose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On-demand, standard</w:t>
            </w:r>
          </w:p>
        </w:tc>
        <w:tc>
          <w:tcPr>
            <w:tcW w:type="dxa" w:w="45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Web services, APIs, stateful workloads, control plane</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Spot/Preemptible</w:t>
            </w:r>
          </w:p>
        </w:tc>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Spot instances</w:t>
            </w:r>
          </w:p>
        </w:tc>
        <w:tc>
          <w:tcPr>
            <w:tcW w:type="dxa" w:w="45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Batch jobs, CI/CD, stateless microservices, ML training</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High Memory</w:t>
            </w:r>
          </w:p>
        </w:tc>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Memory-optimized, on-demand</w:t>
            </w:r>
          </w:p>
        </w:tc>
        <w:tc>
          <w:tcPr>
            <w:tcW w:type="dxa" w:w="45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Databases, caching, data processing, JVM workloads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GPU Pool</w:t>
            </w:r>
          </w:p>
        </w:tc>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GPU instances (on-demand/spot)</w:t>
            </w:r>
          </w:p>
        </w:tc>
        <w:tc>
          <w:tcPr>
            <w:tcW w:type="dxa" w:w="45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ML inference, rendering; auto-scale to zero when idle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ARM/Graviton</w:t>
            </w:r>
          </w:p>
        </w:tc>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ARM64, on-demand</w:t>
            </w:r>
          </w:p>
        </w:tc>
        <w:tc>
          <w:tcPr>
            <w:tcW w:type="dxa" w:w="45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Cloud-native services with ARM support; 20–40% savings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System Pool</w:t>
            </w:r>
          </w:p>
        </w:tc>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Small on-demand (reserved)</w:t>
            </w:r>
          </w:p>
        </w:tc>
        <w:tc>
          <w:tcPr>
            <w:tcW w:type="dxa" w:w="45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DaemonSets, monitoring agents, cluster add-ons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4.5 Bin-Packing and Pod Affinity</w:t>
      </w:r>
    </w:p>
    <w:p>
      <w:pPr>
        <w:spacing w:after="100" w:before="60"/>
      </w:pPr>
      <w:r>
        <w:rPr>
          <w:rFonts w:ascii="Arial" w:cs="Arial" w:eastAsia="Arial" w:hAnsi="Arial"/>
          <w:b w:val="false"/>
          <w:bCs w:val="false"/>
          <w:i w:val="false"/>
          <w:iCs w:val="false"/>
          <w:color w:val="1A1A1A"/>
          <w:sz w:val="20"/>
          <w:szCs w:val="20"/>
        </w:rPr>
        <w:t xml:space="preserve">Bin-packing refers to efficiently filling nodes to reduce the total number required. Strategies:</w:t>
      </w:r>
    </w:p>
    <w:p>
      <w:pPr>
        <w:pStyle w:val="ListParagraph"/>
        <w:numPr>
          <w:ilvl w:val="0"/>
          <w:numId w:val="2"/>
        </w:numPr>
        <w:spacing w:after="40" w:before="40"/>
      </w:pPr>
      <w:r>
        <w:rPr>
          <w:rFonts w:ascii="Arial" w:cs="Arial" w:eastAsia="Arial" w:hAnsi="Arial"/>
          <w:color w:val="1A1A1A"/>
          <w:sz w:val="20"/>
          <w:szCs w:val="20"/>
        </w:rPr>
        <w:t xml:space="preserve">Set accurate resource requests to enable tight scheduling</w:t>
      </w:r>
    </w:p>
    <w:p>
      <w:pPr>
        <w:pStyle w:val="ListParagraph"/>
        <w:numPr>
          <w:ilvl w:val="0"/>
          <w:numId w:val="2"/>
        </w:numPr>
        <w:spacing w:after="40" w:before="40"/>
      </w:pPr>
      <w:r>
        <w:rPr>
          <w:rFonts w:ascii="Arial" w:cs="Arial" w:eastAsia="Arial" w:hAnsi="Arial"/>
          <w:color w:val="1A1A1A"/>
          <w:sz w:val="20"/>
          <w:szCs w:val="20"/>
        </w:rPr>
        <w:t xml:space="preserve">Use pod anti-affinity sparingly; over-use creates scheduling fragmentation</w:t>
      </w:r>
    </w:p>
    <w:p>
      <w:pPr>
        <w:pStyle w:val="ListParagraph"/>
        <w:numPr>
          <w:ilvl w:val="0"/>
          <w:numId w:val="2"/>
        </w:numPr>
        <w:spacing w:after="40" w:before="40"/>
      </w:pPr>
      <w:r>
        <w:rPr>
          <w:rFonts w:ascii="Arial" w:cs="Arial" w:eastAsia="Arial" w:hAnsi="Arial"/>
          <w:color w:val="1A1A1A"/>
          <w:sz w:val="20"/>
          <w:szCs w:val="20"/>
        </w:rPr>
        <w:t xml:space="preserve">Enable the LeastRequestedPriority or BalancedResourceAllocation scheduler plugin</w:t>
      </w:r>
    </w:p>
    <w:p>
      <w:pPr>
        <w:pStyle w:val="ListParagraph"/>
        <w:numPr>
          <w:ilvl w:val="0"/>
          <w:numId w:val="2"/>
        </w:numPr>
        <w:spacing w:after="40" w:before="40"/>
      </w:pPr>
      <w:r>
        <w:rPr>
          <w:rFonts w:ascii="Arial" w:cs="Arial" w:eastAsia="Arial" w:hAnsi="Arial"/>
          <w:color w:val="1A1A1A"/>
          <w:sz w:val="20"/>
          <w:szCs w:val="20"/>
        </w:rPr>
        <w:t xml:space="preserve">Review and tune descheduler policies to re-pack fragmented clusters</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5. Tagging Strategy &amp; Cost Allocation</w:t>
      </w:r>
    </w:p>
    <w:p>
      <w:pPr>
        <w:spacing w:after="100" w:before="60"/>
      </w:pPr>
      <w:r>
        <w:rPr>
          <w:rFonts w:ascii="Arial" w:cs="Arial" w:eastAsia="Arial" w:hAnsi="Arial"/>
          <w:b w:val="false"/>
          <w:bCs w:val="false"/>
          <w:i w:val="false"/>
          <w:iCs w:val="false"/>
          <w:color w:val="1A1A1A"/>
          <w:sz w:val="20"/>
          <w:szCs w:val="20"/>
        </w:rPr>
        <w:t xml:space="preserve">Without a disciplined tagging and labeling strategy, cost allocation is impossible. Tags/labels are the backbone of FinOps in Kubernetes.</w:t>
      </w:r>
    </w:p>
    <w:p>
      <w:pPr>
        <w:pStyle w:val="Heading2"/>
        <w:spacing w:after="120" w:before="280"/>
      </w:pPr>
      <w:r>
        <w:rPr>
          <w:rFonts w:ascii="Arial" w:cs="Arial" w:eastAsia="Arial" w:hAnsi="Arial"/>
          <w:b/>
          <w:bCs/>
          <w:color w:val="2E75B6"/>
          <w:sz w:val="28"/>
          <w:szCs w:val="28"/>
        </w:rPr>
        <w:t xml:space="preserve">5.1 Kubernetes Labels vs Cloud Tags</w:t>
      </w:r>
    </w:p>
    <w:p>
      <w:pPr>
        <w:spacing w:after="100" w:before="60"/>
      </w:pPr>
      <w:r>
        <w:rPr>
          <w:rFonts w:ascii="Arial" w:cs="Arial" w:eastAsia="Arial" w:hAnsi="Arial"/>
          <w:b w:val="false"/>
          <w:bCs w:val="false"/>
          <w:i w:val="false"/>
          <w:iCs w:val="false"/>
          <w:color w:val="1A1A1A"/>
          <w:sz w:val="20"/>
          <w:szCs w:val="20"/>
        </w:rPr>
        <w:t xml:space="preserve">Kubernetes uses labels on pods, namespaces, and other resources. These must be mapped to cloud billing tags for end-to-end attribution:</w:t>
      </w:r>
    </w:p>
    <w:p>
      <w:pPr>
        <w:pStyle w:val="ListParagraph"/>
        <w:numPr>
          <w:ilvl w:val="0"/>
          <w:numId w:val="2"/>
        </w:numPr>
        <w:spacing w:after="40" w:before="40"/>
      </w:pPr>
      <w:r>
        <w:rPr>
          <w:rFonts w:ascii="Arial" w:cs="Arial" w:eastAsia="Arial" w:hAnsi="Arial"/>
          <w:color w:val="1A1A1A"/>
          <w:sz w:val="20"/>
          <w:szCs w:val="20"/>
        </w:rPr>
        <w:t xml:space="preserve">K8s labels propagate to Kubecost/OpenCost cost allocation views</w:t>
      </w:r>
    </w:p>
    <w:p>
      <w:pPr>
        <w:pStyle w:val="ListParagraph"/>
        <w:numPr>
          <w:ilvl w:val="0"/>
          <w:numId w:val="2"/>
        </w:numPr>
        <w:spacing w:after="40" w:before="40"/>
      </w:pPr>
      <w:r>
        <w:rPr>
          <w:rFonts w:ascii="Arial" w:cs="Arial" w:eastAsia="Arial" w:hAnsi="Arial"/>
          <w:color w:val="1A1A1A"/>
          <w:sz w:val="20"/>
          <w:szCs w:val="20"/>
        </w:rPr>
        <w:t xml:space="preserve">Cloud node labels must be mapped to billing tags (e.g., EKS managed node group tags)</w:t>
      </w:r>
    </w:p>
    <w:p>
      <w:pPr>
        <w:pStyle w:val="ListParagraph"/>
        <w:numPr>
          <w:ilvl w:val="0"/>
          <w:numId w:val="2"/>
        </w:numPr>
        <w:spacing w:after="40" w:before="40"/>
      </w:pPr>
      <w:r>
        <w:rPr>
          <w:rFonts w:ascii="Arial" w:cs="Arial" w:eastAsia="Arial" w:hAnsi="Arial"/>
          <w:color w:val="1A1A1A"/>
          <w:sz w:val="20"/>
          <w:szCs w:val="20"/>
        </w:rPr>
        <w:t xml:space="preserve">Namespace labels are the most important unit of cost attribution</w:t>
      </w:r>
    </w:p>
    <w:p>
      <w:pPr>
        <w:pStyle w:val="ListParagraph"/>
        <w:numPr>
          <w:ilvl w:val="0"/>
          <w:numId w:val="2"/>
        </w:numPr>
        <w:spacing w:after="40" w:before="40"/>
      </w:pPr>
      <w:r>
        <w:rPr>
          <w:rFonts w:ascii="Arial" w:cs="Arial" w:eastAsia="Arial" w:hAnsi="Arial"/>
          <w:color w:val="1A1A1A"/>
          <w:sz w:val="20"/>
          <w:szCs w:val="20"/>
        </w:rPr>
        <w:t xml:space="preserve">Use label selectors consistently across all workloads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5.2 Recommended Tagging Taxonomy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Tag Key</w:t>
            </w:r>
          </w:p>
        </w:tc>
        <w:tc>
          <w:tcPr>
            <w:tcW w:type="dxa" w:w="27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Values</w:t>
            </w:r>
          </w:p>
        </w:tc>
        <w:tc>
          <w:tcPr>
            <w:tcW w:type="dxa" w:w="42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FinOps Purpose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team</w:t>
            </w:r>
          </w:p>
        </w:tc>
        <w:tc>
          <w:tcPr>
            <w:tcW w:type="dxa" w:w="2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platform, data-eng, frontend</w:t>
            </w:r>
          </w:p>
        </w:tc>
        <w:tc>
          <w:tcPr>
            <w:tcW w:type="dxa" w:w="4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Identifies owning team for cost attribution</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environment</w:t>
            </w:r>
          </w:p>
        </w:tc>
        <w:tc>
          <w:tcPr>
            <w:tcW w:type="dxa" w:w="2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prod, staging, dev, test</w:t>
            </w:r>
          </w:p>
        </w:tc>
        <w:tc>
          <w:tcPr>
            <w:tcW w:type="dxa" w:w="4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Separate cost by lifecycle tier</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app</w:t>
            </w:r>
          </w:p>
        </w:tc>
        <w:tc>
          <w:tcPr>
            <w:tcW w:type="dxa" w:w="2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checkout-svc, auth-api</w:t>
            </w:r>
          </w:p>
        </w:tc>
        <w:tc>
          <w:tcPr>
            <w:tcW w:type="dxa" w:w="4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Per-application cost tracking</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cost-center</w:t>
            </w:r>
          </w:p>
        </w:tc>
        <w:tc>
          <w:tcPr>
            <w:tcW w:type="dxa" w:w="2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CC-1001, CC-2045</w:t>
            </w:r>
          </w:p>
        </w:tc>
        <w:tc>
          <w:tcPr>
            <w:tcW w:type="dxa" w:w="4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Financial chargeback code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project</w:t>
            </w:r>
          </w:p>
        </w:tc>
        <w:tc>
          <w:tcPr>
            <w:tcW w:type="dxa" w:w="2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project-phoenix</w:t>
            </w:r>
          </w:p>
        </w:tc>
        <w:tc>
          <w:tcPr>
            <w:tcW w:type="dxa" w:w="4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Project-level budget tracking</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managed-by</w:t>
            </w:r>
          </w:p>
        </w:tc>
        <w:tc>
          <w:tcPr>
            <w:tcW w:type="dxa" w:w="2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terraform, helm, manual</w:t>
            </w:r>
          </w:p>
        </w:tc>
        <w:tc>
          <w:tcPr>
            <w:tcW w:type="dxa" w:w="4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IaC governance and drift detection</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criticality</w:t>
            </w:r>
          </w:p>
        </w:tc>
        <w:tc>
          <w:tcPr>
            <w:tcW w:type="dxa" w:w="2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critical, standard, low</w:t>
            </w:r>
          </w:p>
        </w:tc>
        <w:tc>
          <w:tcPr>
            <w:tcW w:type="dxa" w:w="4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Align spend with business priority</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data-classification</w:t>
            </w:r>
          </w:p>
        </w:tc>
        <w:tc>
          <w:tcPr>
            <w:tcW w:type="dxa" w:w="2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public, internal, confidential</w:t>
            </w:r>
          </w:p>
        </w:tc>
        <w:tc>
          <w:tcPr>
            <w:tcW w:type="dxa" w:w="4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Compliance and security cost separation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5.3 Enforcing Tags with OPA/Gatekeeper</w:t>
      </w:r>
    </w:p>
    <w:p>
      <w:pPr>
        <w:spacing w:after="100" w:before="60"/>
      </w:pPr>
      <w:r>
        <w:rPr>
          <w:rFonts w:ascii="Arial" w:cs="Arial" w:eastAsia="Arial" w:hAnsi="Arial"/>
          <w:b w:val="false"/>
          <w:bCs w:val="false"/>
          <w:i w:val="false"/>
          <w:iCs w:val="false"/>
          <w:color w:val="1A1A1A"/>
          <w:sz w:val="20"/>
          <w:szCs w:val="20"/>
        </w:rPr>
        <w:t xml:space="preserve">Use OPA Gatekeeper to enforce required labels on all Kubernetes resources:</w:t>
      </w:r>
    </w:p>
    <w:p>
      <w:pPr>
        <w:spacing w:after="60" w:before="60"/>
      </w:pPr>
      <w:r>
        <w:t xml:space="preserve"/>
      </w:r>
    </w:p>
    <w:p>
      <w:pPr>
        <w:shd w:fill="1A1A2E" w:val="clear"/>
        <w:spacing w:after="80" w:before="80"/>
      </w:pPr>
      <w:r>
        <w:rPr>
          <w:rFonts w:ascii="Courier New" w:cs="Courier New" w:eastAsia="Courier New" w:hAnsi="Courier New"/>
          <w:color w:val="00FF88"/>
          <w:sz w:val="17"/>
          <w:szCs w:val="17"/>
        </w:rPr>
        <w:t xml:space="preserve">apiVersion: constraints.gatekeeper.sh/v1beta1
kind: K8sRequiredLabels
metadata:
  name: require-team-label
spec:
  match:
    kinds:
      - apiGroups: [""]
        kinds: ["Namespace"]
  parameters:
    labels: ["team", "cost-center", "environment"]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5.4 Showback vs. Chargeback</w:t>
      </w:r>
    </w:p>
    <w:p>
      <w:pPr>
        <w:spacing w:after="100" w:before="60"/>
      </w:pPr>
      <w:r>
        <w:rPr>
          <w:rFonts w:ascii="Arial" w:cs="Arial" w:eastAsia="Arial" w:hAnsi="Arial"/>
          <w:b w:val="false"/>
          <w:bCs w:val="false"/>
          <w:i w:val="false"/>
          <w:iCs w:val="false"/>
          <w:color w:val="1A1A1A"/>
          <w:sz w:val="20"/>
          <w:szCs w:val="20"/>
        </w:rPr>
        <w:t xml:space="preserve">FinOps cost allocation can operate in two models:</w:t>
      </w:r>
    </w:p>
    <w:p>
      <w:pPr>
        <w:pStyle w:val="ListParagraph"/>
        <w:numPr>
          <w:ilvl w:val="0"/>
          <w:numId w:val="2"/>
        </w:numPr>
        <w:spacing w:after="40" w:before="40"/>
      </w:pPr>
      <w:r>
        <w:rPr>
          <w:rFonts w:ascii="Arial" w:cs="Arial" w:eastAsia="Arial" w:hAnsi="Arial"/>
          <w:color w:val="1A1A1A"/>
          <w:sz w:val="20"/>
          <w:szCs w:val="20"/>
        </w:rPr>
        <w:t xml:space="preserve">Showback: teams can see their costs but are not financially charged back. Lower friction, builds awareness, good starting point.</w:t>
      </w:r>
    </w:p>
    <w:p>
      <w:pPr>
        <w:pStyle w:val="ListParagraph"/>
        <w:numPr>
          <w:ilvl w:val="0"/>
          <w:numId w:val="2"/>
        </w:numPr>
        <w:spacing w:after="40" w:before="40"/>
      </w:pPr>
      <w:r>
        <w:rPr>
          <w:rFonts w:ascii="Arial" w:cs="Arial" w:eastAsia="Arial" w:hAnsi="Arial"/>
          <w:color w:val="1A1A1A"/>
          <w:sz w:val="20"/>
          <w:szCs w:val="20"/>
        </w:rPr>
        <w:t xml:space="preserve">Chargeback: costs are formally allocated to team budgets/P&amp;Ls. Higher accountability, requires mature tagging and governance. Best for large organizations.</w:t>
      </w:r>
    </w:p>
    <w:p>
      <w:pPr>
        <w:spacing w:after="60" w:before="60"/>
      </w:pPr>
      <w:r>
        <w:t xml:space="preserve"/>
      </w:r>
    </w:p>
    <w:p>
      <w:pPr>
        <w:spacing w:after="100" w:before="60"/>
      </w:pPr>
      <w:r>
        <w:rPr>
          <w:rFonts w:ascii="Arial" w:cs="Arial" w:eastAsia="Arial" w:hAnsi="Arial"/>
          <w:b w:val="false"/>
          <w:bCs w:val="false"/>
          <w:i w:val="false"/>
          <w:iCs w:val="false"/>
          <w:color w:val="1A1A1A"/>
          <w:sz w:val="20"/>
          <w:szCs w:val="20"/>
        </w:rPr>
        <w:t xml:space="preserve">Most organizations start with showback and graduate to chargeback after 6–12 months of FinOps maturity. Kubecost and OpenCost both support both models via their allocation APIs.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5.5 On-Premises Cost Modeling</w:t>
      </w:r>
    </w:p>
    <w:p>
      <w:pPr>
        <w:spacing w:after="100" w:before="60"/>
      </w:pPr>
      <w:r>
        <w:rPr>
          <w:rFonts w:ascii="Arial" w:cs="Arial" w:eastAsia="Arial" w:hAnsi="Arial"/>
          <w:b w:val="false"/>
          <w:bCs w:val="false"/>
          <w:i w:val="false"/>
          <w:iCs w:val="false"/>
          <w:color w:val="1A1A1A"/>
          <w:sz w:val="20"/>
          <w:szCs w:val="20"/>
        </w:rPr>
        <w:t xml:space="preserve">On-premises clusters lack automatic billing attribution. Construct a cost model based on:</w:t>
      </w:r>
    </w:p>
    <w:p>
      <w:pPr>
        <w:pStyle w:val="ListParagraph"/>
        <w:numPr>
          <w:ilvl w:val="0"/>
          <w:numId w:val="2"/>
        </w:numPr>
        <w:spacing w:after="40" w:before="40"/>
      </w:pPr>
      <w:r>
        <w:rPr>
          <w:rFonts w:ascii="Arial" w:cs="Arial" w:eastAsia="Arial" w:hAnsi="Arial"/>
          <w:color w:val="1A1A1A"/>
          <w:sz w:val="20"/>
          <w:szCs w:val="20"/>
        </w:rPr>
        <w:t xml:space="preserve">Server depreciation (typically 3–5 year amortization of hardware CapEx)</w:t>
      </w:r>
    </w:p>
    <w:p>
      <w:pPr>
        <w:pStyle w:val="ListParagraph"/>
        <w:numPr>
          <w:ilvl w:val="0"/>
          <w:numId w:val="2"/>
        </w:numPr>
        <w:spacing w:after="40" w:before="40"/>
      </w:pPr>
      <w:r>
        <w:rPr>
          <w:rFonts w:ascii="Arial" w:cs="Arial" w:eastAsia="Arial" w:hAnsi="Arial"/>
          <w:color w:val="1A1A1A"/>
          <w:sz w:val="20"/>
          <w:szCs w:val="20"/>
        </w:rPr>
        <w:t xml:space="preserve">Power and cooling (typical data center PUE of 1.2–1.5x raw compute power)</w:t>
      </w:r>
    </w:p>
    <w:p>
      <w:pPr>
        <w:pStyle w:val="ListParagraph"/>
        <w:numPr>
          <w:ilvl w:val="0"/>
          <w:numId w:val="2"/>
        </w:numPr>
        <w:spacing w:after="40" w:before="40"/>
      </w:pPr>
      <w:r>
        <w:rPr>
          <w:rFonts w:ascii="Arial" w:cs="Arial" w:eastAsia="Arial" w:hAnsi="Arial"/>
          <w:color w:val="1A1A1A"/>
          <w:sz w:val="20"/>
          <w:szCs w:val="20"/>
        </w:rPr>
        <w:t xml:space="preserve">Networking equipment (switches, load balancers, firewall appliances)</w:t>
      </w:r>
    </w:p>
    <w:p>
      <w:pPr>
        <w:pStyle w:val="ListParagraph"/>
        <w:numPr>
          <w:ilvl w:val="0"/>
          <w:numId w:val="2"/>
        </w:numPr>
        <w:spacing w:after="40" w:before="40"/>
      </w:pPr>
      <w:r>
        <w:rPr>
          <w:rFonts w:ascii="Arial" w:cs="Arial" w:eastAsia="Arial" w:hAnsi="Arial"/>
          <w:color w:val="1A1A1A"/>
          <w:sz w:val="20"/>
          <w:szCs w:val="20"/>
        </w:rPr>
        <w:t xml:space="preserve">Storage systems (SAN, NAS, Ceph cluster hardware)</w:t>
      </w:r>
    </w:p>
    <w:p>
      <w:pPr>
        <w:pStyle w:val="ListParagraph"/>
        <w:numPr>
          <w:ilvl w:val="0"/>
          <w:numId w:val="2"/>
        </w:numPr>
        <w:spacing w:after="40" w:before="40"/>
      </w:pPr>
      <w:r>
        <w:rPr>
          <w:rFonts w:ascii="Arial" w:cs="Arial" w:eastAsia="Arial" w:hAnsi="Arial"/>
          <w:color w:val="1A1A1A"/>
          <w:sz w:val="20"/>
          <w:szCs w:val="20"/>
        </w:rPr>
        <w:t xml:space="preserve">Operating system and software licensing (RHEL, Windows, monitoring tools)</w:t>
      </w:r>
    </w:p>
    <w:p>
      <w:pPr>
        <w:pStyle w:val="ListParagraph"/>
        <w:numPr>
          <w:ilvl w:val="0"/>
          <w:numId w:val="2"/>
        </w:numPr>
        <w:spacing w:after="40" w:before="40"/>
      </w:pPr>
      <w:r>
        <w:rPr>
          <w:rFonts w:ascii="Arial" w:cs="Arial" w:eastAsia="Arial" w:hAnsi="Arial"/>
          <w:color w:val="1A1A1A"/>
          <w:sz w:val="20"/>
          <w:szCs w:val="20"/>
        </w:rPr>
        <w:t xml:space="preserve">Staff time (platform engineering, SRE, network, storage teams)</w:t>
      </w:r>
    </w:p>
    <w:p>
      <w:pPr>
        <w:spacing w:after="60" w:before="60"/>
      </w:pPr>
      <w:r>
        <w:t xml:space="preserve"/>
      </w:r>
    </w:p>
    <w:p>
      <w:pPr>
        <w:spacing w:after="100" w:before="60"/>
      </w:pPr>
      <w:r>
        <w:rPr>
          <w:rFonts w:ascii="Arial" w:cs="Arial" w:eastAsia="Arial" w:hAnsi="Arial"/>
          <w:b w:val="false"/>
          <w:bCs w:val="false"/>
          <w:i w:val="false"/>
          <w:iCs w:val="false"/>
          <w:color w:val="1A1A1A"/>
          <w:sz w:val="20"/>
          <w:szCs w:val="20"/>
        </w:rPr>
        <w:t xml:space="preserve">Divide total monthly infrastructure cost by total available node resources (vCPU-hours, GB-hours) to derive a per-unit cost that feeds into Kubecost's custom pricing configuration.</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6. Storage &amp; Network Cost Optimization</w:t>
      </w:r>
    </w:p>
    <w:p>
      <w:pPr>
        <w:pStyle w:val="Heading2"/>
        <w:spacing w:after="120" w:before="280"/>
      </w:pPr>
      <w:r>
        <w:rPr>
          <w:rFonts w:ascii="Arial" w:cs="Arial" w:eastAsia="Arial" w:hAnsi="Arial"/>
          <w:b/>
          <w:bCs/>
          <w:color w:val="2E75B6"/>
          <w:sz w:val="28"/>
          <w:szCs w:val="28"/>
        </w:rPr>
        <w:t xml:space="preserve">6.1 Persistent Volume (PV) Cost Management</w:t>
      </w:r>
    </w:p>
    <w:p>
      <w:pPr>
        <w:spacing w:after="100" w:before="60"/>
      </w:pPr>
      <w:r>
        <w:rPr>
          <w:rFonts w:ascii="Arial" w:cs="Arial" w:eastAsia="Arial" w:hAnsi="Arial"/>
          <w:b w:val="false"/>
          <w:bCs w:val="false"/>
          <w:i w:val="false"/>
          <w:iCs w:val="false"/>
          <w:color w:val="1A1A1A"/>
          <w:sz w:val="20"/>
          <w:szCs w:val="20"/>
        </w:rPr>
        <w:t xml:space="preserve">Storage is frequently the second-largest cost component after compute. Common issues:</w:t>
      </w:r>
    </w:p>
    <w:p>
      <w:pPr>
        <w:pStyle w:val="ListParagraph"/>
        <w:numPr>
          <w:ilvl w:val="0"/>
          <w:numId w:val="2"/>
        </w:numPr>
        <w:spacing w:after="40" w:before="40"/>
      </w:pPr>
      <w:r>
        <w:rPr>
          <w:rFonts w:ascii="Arial" w:cs="Arial" w:eastAsia="Arial" w:hAnsi="Arial"/>
          <w:color w:val="1A1A1A"/>
          <w:sz w:val="20"/>
          <w:szCs w:val="20"/>
        </w:rPr>
        <w:t xml:space="preserve">Orphaned PVCs: volumes not deleted when applications are removed</w:t>
      </w:r>
    </w:p>
    <w:p>
      <w:pPr>
        <w:pStyle w:val="ListParagraph"/>
        <w:numPr>
          <w:ilvl w:val="0"/>
          <w:numId w:val="2"/>
        </w:numPr>
        <w:spacing w:after="40" w:before="40"/>
      </w:pPr>
      <w:r>
        <w:rPr>
          <w:rFonts w:ascii="Arial" w:cs="Arial" w:eastAsia="Arial" w:hAnsi="Arial"/>
          <w:color w:val="1A1A1A"/>
          <w:sz w:val="20"/>
          <w:szCs w:val="20"/>
        </w:rPr>
        <w:t xml:space="preserve">Over-sized PVCs: developers request 100Gi when 10Gi is sufficient</w:t>
      </w:r>
    </w:p>
    <w:p>
      <w:pPr>
        <w:pStyle w:val="ListParagraph"/>
        <w:numPr>
          <w:ilvl w:val="0"/>
          <w:numId w:val="2"/>
        </w:numPr>
        <w:spacing w:after="40" w:before="40"/>
      </w:pPr>
      <w:r>
        <w:rPr>
          <w:rFonts w:ascii="Arial" w:cs="Arial" w:eastAsia="Arial" w:hAnsi="Arial"/>
          <w:color w:val="1A1A1A"/>
          <w:sz w:val="20"/>
          <w:szCs w:val="20"/>
        </w:rPr>
        <w:t xml:space="preserve">Premium storage class for non-critical workloads (SSD where HDD is adequate)</w:t>
      </w:r>
    </w:p>
    <w:p>
      <w:pPr>
        <w:pStyle w:val="ListParagraph"/>
        <w:numPr>
          <w:ilvl w:val="0"/>
          <w:numId w:val="2"/>
        </w:numPr>
        <w:spacing w:after="40" w:before="40"/>
      </w:pPr>
      <w:r>
        <w:rPr>
          <w:rFonts w:ascii="Arial" w:cs="Arial" w:eastAsia="Arial" w:hAnsi="Arial"/>
          <w:color w:val="1A1A1A"/>
          <w:sz w:val="20"/>
          <w:szCs w:val="20"/>
        </w:rPr>
        <w:t xml:space="preserve">Duplicate data: multiple copies of the same dataset across namespaces</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Optimization Actions</w:t>
      </w:r>
    </w:p>
    <w:p>
      <w:pPr>
        <w:pStyle w:val="ListParagraph"/>
        <w:numPr>
          <w:ilvl w:val="0"/>
          <w:numId w:val="2"/>
        </w:numPr>
        <w:spacing w:after="40" w:before="40"/>
      </w:pPr>
      <w:r>
        <w:rPr>
          <w:rFonts w:ascii="Arial" w:cs="Arial" w:eastAsia="Arial" w:hAnsi="Arial"/>
          <w:color w:val="1A1A1A"/>
          <w:sz w:val="20"/>
          <w:szCs w:val="20"/>
        </w:rPr>
        <w:t xml:space="preserve">Audit PVCs monthly: identify and delete unbound or unused volumes</w:t>
      </w:r>
    </w:p>
    <w:p>
      <w:pPr>
        <w:pStyle w:val="ListParagraph"/>
        <w:numPr>
          <w:ilvl w:val="0"/>
          <w:numId w:val="2"/>
        </w:numPr>
        <w:spacing w:after="40" w:before="40"/>
      </w:pPr>
      <w:r>
        <w:rPr>
          <w:rFonts w:ascii="Arial" w:cs="Arial" w:eastAsia="Arial" w:hAnsi="Arial"/>
          <w:color w:val="1A1A1A"/>
          <w:sz w:val="20"/>
          <w:szCs w:val="20"/>
        </w:rPr>
        <w:t xml:space="preserve">Implement StorageClass policies via OPA to restrict premium classes for dev/test</w:t>
      </w:r>
    </w:p>
    <w:p>
      <w:pPr>
        <w:pStyle w:val="ListParagraph"/>
        <w:numPr>
          <w:ilvl w:val="0"/>
          <w:numId w:val="2"/>
        </w:numPr>
        <w:spacing w:after="40" w:before="40"/>
      </w:pPr>
      <w:r>
        <w:rPr>
          <w:rFonts w:ascii="Arial" w:cs="Arial" w:eastAsia="Arial" w:hAnsi="Arial"/>
          <w:color w:val="1A1A1A"/>
          <w:sz w:val="20"/>
          <w:szCs w:val="20"/>
        </w:rPr>
        <w:t xml:space="preserve">Set VolumeExpansion policies rather than deleting and recreating oversized volumes</w:t>
      </w:r>
    </w:p>
    <w:p>
      <w:pPr>
        <w:pStyle w:val="ListParagraph"/>
        <w:numPr>
          <w:ilvl w:val="0"/>
          <w:numId w:val="2"/>
        </w:numPr>
        <w:spacing w:after="40" w:before="40"/>
      </w:pPr>
      <w:r>
        <w:rPr>
          <w:rFonts w:ascii="Arial" w:cs="Arial" w:eastAsia="Arial" w:hAnsi="Arial"/>
          <w:color w:val="1A1A1A"/>
          <w:sz w:val="20"/>
          <w:szCs w:val="20"/>
        </w:rPr>
        <w:t xml:space="preserve">Use object storage (S3, GCS, Azure Blob) for large datasets instead of block storage</w:t>
      </w:r>
    </w:p>
    <w:p>
      <w:pPr>
        <w:pStyle w:val="ListParagraph"/>
        <w:numPr>
          <w:ilvl w:val="0"/>
          <w:numId w:val="2"/>
        </w:numPr>
        <w:spacing w:after="40" w:before="40"/>
      </w:pPr>
      <w:r>
        <w:rPr>
          <w:rFonts w:ascii="Arial" w:cs="Arial" w:eastAsia="Arial" w:hAnsi="Arial"/>
          <w:color w:val="1A1A1A"/>
          <w:sz w:val="20"/>
          <w:szCs w:val="20"/>
        </w:rPr>
        <w:t xml:space="preserve">On-prem: tiered storage (SSD for hot data, HDD/Ceph for warm/cold data)</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6.2 Network Egress Costs (Cloud)</w:t>
      </w:r>
    </w:p>
    <w:p>
      <w:pPr>
        <w:spacing w:after="100" w:before="60"/>
      </w:pPr>
      <w:r>
        <w:rPr>
          <w:rFonts w:ascii="Arial" w:cs="Arial" w:eastAsia="Arial" w:hAnsi="Arial"/>
          <w:b w:val="false"/>
          <w:bCs w:val="false"/>
          <w:i w:val="false"/>
          <w:iCs w:val="false"/>
          <w:color w:val="1A1A1A"/>
          <w:sz w:val="20"/>
          <w:szCs w:val="20"/>
        </w:rPr>
        <w:t xml:space="preserve">Network egress is a significant and often overlooked cost in cloud Kubernetes deployments:</w:t>
      </w:r>
    </w:p>
    <w:p>
      <w:pPr>
        <w:pStyle w:val="ListParagraph"/>
        <w:numPr>
          <w:ilvl w:val="0"/>
          <w:numId w:val="2"/>
        </w:numPr>
        <w:spacing w:after="40" w:before="40"/>
      </w:pPr>
      <w:r>
        <w:rPr>
          <w:rFonts w:ascii="Arial" w:cs="Arial" w:eastAsia="Arial" w:hAnsi="Arial"/>
          <w:color w:val="1A1A1A"/>
          <w:sz w:val="20"/>
          <w:szCs w:val="20"/>
        </w:rPr>
        <w:t xml:space="preserve">Inter-AZ traffic: pods in different availability zones incur per-GB data transfer charges</w:t>
      </w:r>
    </w:p>
    <w:p>
      <w:pPr>
        <w:pStyle w:val="ListParagraph"/>
        <w:numPr>
          <w:ilvl w:val="0"/>
          <w:numId w:val="2"/>
        </w:numPr>
        <w:spacing w:after="40" w:before="40"/>
      </w:pPr>
      <w:r>
        <w:rPr>
          <w:rFonts w:ascii="Arial" w:cs="Arial" w:eastAsia="Arial" w:hAnsi="Arial"/>
          <w:color w:val="1A1A1A"/>
          <w:sz w:val="20"/>
          <w:szCs w:val="20"/>
        </w:rPr>
        <w:t xml:space="preserve">Internet egress: traffic leaving the cloud provider is charged per-GB</w:t>
      </w:r>
    </w:p>
    <w:p>
      <w:pPr>
        <w:pStyle w:val="ListParagraph"/>
        <w:numPr>
          <w:ilvl w:val="0"/>
          <w:numId w:val="2"/>
        </w:numPr>
        <w:spacing w:after="40" w:before="40"/>
      </w:pPr>
      <w:r>
        <w:rPr>
          <w:rFonts w:ascii="Arial" w:cs="Arial" w:eastAsia="Arial" w:hAnsi="Arial"/>
          <w:color w:val="1A1A1A"/>
          <w:sz w:val="20"/>
          <w:szCs w:val="20"/>
        </w:rPr>
        <w:t xml:space="preserve">Cross-region traffic: highest data transfer charges apply</w:t>
      </w:r>
    </w:p>
    <w:p>
      <w:pPr>
        <w:pStyle w:val="ListParagraph"/>
        <w:numPr>
          <w:ilvl w:val="0"/>
          <w:numId w:val="2"/>
        </w:numPr>
        <w:spacing w:after="40" w:before="40"/>
      </w:pPr>
      <w:r>
        <w:rPr>
          <w:rFonts w:ascii="Arial" w:cs="Arial" w:eastAsia="Arial" w:hAnsi="Arial"/>
          <w:color w:val="1A1A1A"/>
          <w:sz w:val="20"/>
          <w:szCs w:val="20"/>
        </w:rPr>
        <w:t xml:space="preserve">Load balancer hours: each cloud LB service incurs hourly charges</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Reduction Strategies</w:t>
      </w:r>
    </w:p>
    <w:p>
      <w:pPr>
        <w:pStyle w:val="ListParagraph"/>
        <w:numPr>
          <w:ilvl w:val="0"/>
          <w:numId w:val="2"/>
        </w:numPr>
        <w:spacing w:after="40" w:before="40"/>
      </w:pPr>
      <w:r>
        <w:rPr>
          <w:rFonts w:ascii="Arial" w:cs="Arial" w:eastAsia="Arial" w:hAnsi="Arial"/>
          <w:color w:val="1A1A1A"/>
          <w:sz w:val="20"/>
          <w:szCs w:val="20"/>
        </w:rPr>
        <w:t xml:space="preserve">Use topology-aware routing to prefer same-AZ pod communication</w:t>
      </w:r>
    </w:p>
    <w:p>
      <w:pPr>
        <w:pStyle w:val="ListParagraph"/>
        <w:numPr>
          <w:ilvl w:val="0"/>
          <w:numId w:val="2"/>
        </w:numPr>
        <w:spacing w:after="40" w:before="40"/>
      </w:pPr>
      <w:r>
        <w:rPr>
          <w:rFonts w:ascii="Arial" w:cs="Arial" w:eastAsia="Arial" w:hAnsi="Arial"/>
          <w:color w:val="1A1A1A"/>
          <w:sz w:val="20"/>
          <w:szCs w:val="20"/>
        </w:rPr>
        <w:t xml:space="preserve">Deploy regional clusters to minimize cross-region traffic</w:t>
      </w:r>
    </w:p>
    <w:p>
      <w:pPr>
        <w:pStyle w:val="ListParagraph"/>
        <w:numPr>
          <w:ilvl w:val="0"/>
          <w:numId w:val="2"/>
        </w:numPr>
        <w:spacing w:after="40" w:before="40"/>
      </w:pPr>
      <w:r>
        <w:rPr>
          <w:rFonts w:ascii="Arial" w:cs="Arial" w:eastAsia="Arial" w:hAnsi="Arial"/>
          <w:color w:val="1A1A1A"/>
          <w:sz w:val="20"/>
          <w:szCs w:val="20"/>
        </w:rPr>
        <w:t xml:space="preserve">Use VPC endpoints/Private Link to avoid internet egress for cloud service calls</w:t>
      </w:r>
    </w:p>
    <w:p>
      <w:pPr>
        <w:pStyle w:val="ListParagraph"/>
        <w:numPr>
          <w:ilvl w:val="0"/>
          <w:numId w:val="2"/>
        </w:numPr>
        <w:spacing w:after="40" w:before="40"/>
      </w:pPr>
      <w:r>
        <w:rPr>
          <w:rFonts w:ascii="Arial" w:cs="Arial" w:eastAsia="Arial" w:hAnsi="Arial"/>
          <w:color w:val="1A1A1A"/>
          <w:sz w:val="20"/>
          <w:szCs w:val="20"/>
        </w:rPr>
        <w:t xml:space="preserve">Consolidate LoadBalancer services; use Ingress controllers instead of per-service LBs</w:t>
      </w:r>
    </w:p>
    <w:p>
      <w:pPr>
        <w:pStyle w:val="ListParagraph"/>
        <w:numPr>
          <w:ilvl w:val="0"/>
          <w:numId w:val="2"/>
        </w:numPr>
        <w:spacing w:after="40" w:before="40"/>
      </w:pPr>
      <w:r>
        <w:rPr>
          <w:rFonts w:ascii="Arial" w:cs="Arial" w:eastAsia="Arial" w:hAnsi="Arial"/>
          <w:color w:val="1A1A1A"/>
          <w:sz w:val="20"/>
          <w:szCs w:val="20"/>
        </w:rPr>
        <w:t xml:space="preserve">Cache CDN for static assets to reduce origin server egress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6.3 Container Registry Optimization</w:t>
      </w:r>
    </w:p>
    <w:p>
      <w:pPr>
        <w:pStyle w:val="ListParagraph"/>
        <w:numPr>
          <w:ilvl w:val="0"/>
          <w:numId w:val="2"/>
        </w:numPr>
        <w:spacing w:after="40" w:before="40"/>
      </w:pPr>
      <w:r>
        <w:rPr>
          <w:rFonts w:ascii="Arial" w:cs="Arial" w:eastAsia="Arial" w:hAnsi="Arial"/>
          <w:color w:val="1A1A1A"/>
          <w:sz w:val="20"/>
          <w:szCs w:val="20"/>
        </w:rPr>
        <w:t xml:space="preserve">Prune old/unused image tags regularly to reduce registry storage costs</w:t>
      </w:r>
    </w:p>
    <w:p>
      <w:pPr>
        <w:pStyle w:val="ListParagraph"/>
        <w:numPr>
          <w:ilvl w:val="0"/>
          <w:numId w:val="2"/>
        </w:numPr>
        <w:spacing w:after="40" w:before="40"/>
      </w:pPr>
      <w:r>
        <w:rPr>
          <w:rFonts w:ascii="Arial" w:cs="Arial" w:eastAsia="Arial" w:hAnsi="Arial"/>
          <w:color w:val="1A1A1A"/>
          <w:sz w:val="20"/>
          <w:szCs w:val="20"/>
        </w:rPr>
        <w:t xml:space="preserve">Use multi-stage builds and distroless base images to reduce image sizes</w:t>
      </w:r>
    </w:p>
    <w:p>
      <w:pPr>
        <w:pStyle w:val="ListParagraph"/>
        <w:numPr>
          <w:ilvl w:val="0"/>
          <w:numId w:val="2"/>
        </w:numPr>
        <w:spacing w:after="40" w:before="40"/>
      </w:pPr>
      <w:r>
        <w:rPr>
          <w:rFonts w:ascii="Arial" w:cs="Arial" w:eastAsia="Arial" w:hAnsi="Arial"/>
          <w:color w:val="1A1A1A"/>
          <w:sz w:val="20"/>
          <w:szCs w:val="20"/>
        </w:rPr>
        <w:t xml:space="preserve">Regional replication: replicate images to the region they are deployed to reduce pull costs</w:t>
      </w:r>
    </w:p>
    <w:p>
      <w:pPr>
        <w:pStyle w:val="ListParagraph"/>
        <w:numPr>
          <w:ilvl w:val="0"/>
          <w:numId w:val="2"/>
        </w:numPr>
        <w:spacing w:after="40" w:before="40"/>
      </w:pPr>
      <w:r>
        <w:rPr>
          <w:rFonts w:ascii="Arial" w:cs="Arial" w:eastAsia="Arial" w:hAnsi="Arial"/>
          <w:color w:val="1A1A1A"/>
          <w:sz w:val="20"/>
          <w:szCs w:val="20"/>
        </w:rPr>
        <w:t xml:space="preserve">Cache base layers: use pull-through caches for Docker Hub and public registries</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7. Governance, Policy &amp; Compliance</w:t>
      </w:r>
    </w:p>
    <w:p>
      <w:pPr>
        <w:spacing w:after="100" w:before="60"/>
      </w:pPr>
      <w:r>
        <w:rPr>
          <w:rFonts w:ascii="Arial" w:cs="Arial" w:eastAsia="Arial" w:hAnsi="Arial"/>
          <w:b w:val="false"/>
          <w:bCs w:val="false"/>
          <w:i w:val="false"/>
          <w:iCs w:val="false"/>
          <w:color w:val="1A1A1A"/>
          <w:sz w:val="20"/>
          <w:szCs w:val="20"/>
        </w:rPr>
        <w:t xml:space="preserve">FinOps governance ensures that cost best practices are enforced automatically, not just recommended. Policy-as-code is the most scalable approach.</w:t>
      </w:r>
    </w:p>
    <w:p>
      <w:pPr>
        <w:pStyle w:val="Heading2"/>
        <w:spacing w:after="120" w:before="280"/>
      </w:pPr>
      <w:r>
        <w:rPr>
          <w:rFonts w:ascii="Arial" w:cs="Arial" w:eastAsia="Arial" w:hAnsi="Arial"/>
          <w:b/>
          <w:bCs/>
          <w:color w:val="2E75B6"/>
          <w:sz w:val="28"/>
          <w:szCs w:val="28"/>
        </w:rPr>
        <w:t xml:space="preserve">7.1 Policy Enforcement with OPA/Gatekeeper</w:t>
      </w:r>
    </w:p>
    <w:p>
      <w:pPr>
        <w:spacing w:after="100" w:before="60"/>
      </w:pPr>
      <w:r>
        <w:rPr>
          <w:rFonts w:ascii="Arial" w:cs="Arial" w:eastAsia="Arial" w:hAnsi="Arial"/>
          <w:b w:val="false"/>
          <w:bCs w:val="false"/>
          <w:i w:val="false"/>
          <w:iCs w:val="false"/>
          <w:color w:val="1A1A1A"/>
          <w:sz w:val="20"/>
          <w:szCs w:val="20"/>
        </w:rPr>
        <w:t xml:space="preserve">Open Policy Agent (OPA) with Gatekeeper enables admission control policies that enforce FinOps requirements at the Kubernetes API level – before resources are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80"/>
        <w:gridCol w:w="4180"/>
      </w:tblGrid>
      <w:tr>
        <w:tc>
          <w:tcPr>
            <w:tcW w:type="dxa" w:w="28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Policy</w:t>
            </w:r>
          </w:p>
        </w:tc>
        <w:tc>
          <w:tcPr>
            <w:tcW w:type="dxa" w:w="23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Mechanism</w:t>
            </w:r>
          </w:p>
        </w:tc>
        <w:tc>
          <w:tcPr>
            <w:tcW w:type="dxa" w:w="41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FinOps Purpose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Require resource requests/limits</w:t>
            </w:r>
          </w:p>
        </w:tc>
        <w:tc>
          <w:tcPr>
            <w:tcW w:type="dxa" w:w="2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OPA/Gatekeeper</w:t>
            </w:r>
          </w:p>
        </w:tc>
        <w:tc>
          <w:tcPr>
            <w:tcW w:type="dxa" w:w="41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Prevent unscheduled or runaway pods; mandatory for FinOps</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Enforce namespace labels</w:t>
            </w:r>
          </w:p>
        </w:tc>
        <w:tc>
          <w:tcPr>
            <w:tcW w:type="dxa" w:w="2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OPA/Gatekeeper</w:t>
            </w:r>
          </w:p>
        </w:tc>
        <w:tc>
          <w:tcPr>
            <w:tcW w:type="dxa" w:w="41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 cost-center, environment labels required on all namespaces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Block privileged containers</w:t>
            </w:r>
          </w:p>
        </w:tc>
        <w:tc>
          <w:tcPr>
            <w:tcW w:type="dxa" w:w="2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OPA/Gatekeeper</w:t>
            </w:r>
          </w:p>
        </w:tc>
        <w:tc>
          <w:tcPr>
            <w:tcW w:type="dxa" w:w="41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Security + cost; privileged containers are higher risk</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LimitRange defaults</w:t>
            </w:r>
          </w:p>
        </w:tc>
        <w:tc>
          <w:tcPr>
            <w:tcW w:type="dxa" w:w="2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Native K8s</w:t>
            </w:r>
          </w:p>
        </w:tc>
        <w:tc>
          <w:tcPr>
            <w:tcW w:type="dxa" w:w="41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Auto-apply sensible CPU/mem defaults if not specified</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ResourceQuota per namespace</w:t>
            </w:r>
          </w:p>
        </w:tc>
        <w:tc>
          <w:tcPr>
            <w:tcW w:type="dxa" w:w="2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Native K8s</w:t>
            </w:r>
          </w:p>
        </w:tc>
        <w:tc>
          <w:tcPr>
            <w:tcW w:type="dxa" w:w="41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Cap total compute and storage per team/project</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Budget alerts</w:t>
            </w:r>
          </w:p>
        </w:tc>
        <w:tc>
          <w:tcPr>
            <w:tcW w:type="dxa" w:w="2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Billing / Kubecost</w:t>
            </w:r>
          </w:p>
        </w:tc>
        <w:tc>
          <w:tcPr>
            <w:tcW w:type="dxa" w:w="41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Notify at 80%, 90%, 100% of namespace budget</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Image pull policy enforcement</w:t>
            </w:r>
          </w:p>
        </w:tc>
        <w:tc>
          <w:tcPr>
            <w:tcW w:type="dxa" w:w="2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w:t>
            </w:r>
          </w:p>
        </w:tc>
        <w:tc>
          <w:tcPr>
            <w:tcW w:type="dxa" w:w="41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Avoid Always pull policy for large images; use IfNotPresent</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Enforce storage class policy</w:t>
            </w:r>
          </w:p>
        </w:tc>
        <w:tc>
          <w:tcPr>
            <w:tcW w:type="dxa" w:w="2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w:t>
            </w:r>
          </w:p>
        </w:tc>
        <w:tc>
          <w:tcPr>
            <w:tcW w:type="dxa" w:w="41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Prevent premium storage class for dev/test workloads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Restrict node selectors</w:t>
            </w:r>
          </w:p>
        </w:tc>
        <w:tc>
          <w:tcPr>
            <w:tcW w:type="dxa" w:w="23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w:t>
            </w:r>
          </w:p>
        </w:tc>
        <w:tc>
          <w:tcPr>
            <w:tcW w:type="dxa" w:w="41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Control which workloads land on expensive GPU/spot nodes</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Deny PVCs over size threshold</w:t>
            </w:r>
          </w:p>
        </w:tc>
        <w:tc>
          <w:tcPr>
            <w:tcW w:type="dxa" w:w="23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w:t>
            </w:r>
          </w:p>
        </w:tc>
        <w:tc>
          <w:tcPr>
            <w:tcW w:type="dxa" w:w="41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Limit PVC size requests; prevent accidental over-provisioning</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7.2 ResourceQuota &amp; LimitRange</w:t>
      </w:r>
    </w:p>
    <w:p>
      <w:pPr>
        <w:spacing w:after="100" w:before="60"/>
      </w:pPr>
      <w:r>
        <w:rPr>
          <w:rFonts w:ascii="Arial" w:cs="Arial" w:eastAsia="Arial" w:hAnsi="Arial"/>
          <w:b w:val="false"/>
          <w:bCs w:val="false"/>
          <w:i w:val="false"/>
          <w:iCs w:val="false"/>
          <w:color w:val="1A1A1A"/>
          <w:sz w:val="20"/>
          <w:szCs w:val="20"/>
        </w:rPr>
        <w:t xml:space="preserve">Native Kubernetes controls for namespace-level resource governance:</w:t>
      </w:r>
    </w:p>
    <w:p>
      <w:pPr>
        <w:spacing w:after="60" w:before="60"/>
      </w:pPr>
      <w:r>
        <w:t xml:space="preserve"/>
      </w:r>
    </w:p>
    <w:p>
      <w:pPr>
        <w:shd w:fill="1A1A2E" w:val="clear"/>
        <w:spacing w:after="80" w:before="80"/>
      </w:pPr>
      <w:r>
        <w:rPr>
          <w:rFonts w:ascii="Courier New" w:cs="Courier New" w:eastAsia="Courier New" w:hAnsi="Courier New"/>
          <w:color w:val="00FF88"/>
          <w:sz w:val="16"/>
          <w:szCs w:val="16"/>
        </w:rPr>
        <w:t xml:space="preserve"># ResourceQuota – cap total namespace resources
apiVersion: v1
kind: ResourceQuota
metadata:
  name: team-quota
  namespace: team-frontend
spec:
  hard:
    requests.cpu: "20"
    requests.memory: 40Gi
    limits.cpu: "40"
    limits.memory: 80Gi
    persistentvolumeclaims: "10"
    requests.storage: 200Gi
---
# LimitRange – enforce defaults and bounds per container
apiVersion: v1
kind: LimitRange
metadata:
  name: default-limits
  namespace: team-frontend
spec:
  limits:
  - type: Container
    default:
      cpu: 500m
      memory: 512Mi
    defaultRequest:
      cpu: 100m
      memory: 128Mi
    max:
      cpu: "4"
      memory: 8Gi</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7.3 Budget Alerts &amp; Anomaly Detection</w:t>
      </w:r>
    </w:p>
    <w:p>
      <w:pPr>
        <w:spacing w:after="100" w:before="60"/>
      </w:pPr>
      <w:r>
        <w:rPr>
          <w:rFonts w:ascii="Arial" w:cs="Arial" w:eastAsia="Arial" w:hAnsi="Arial"/>
          <w:b w:val="false"/>
          <w:bCs w:val="false"/>
          <w:i w:val="false"/>
          <w:iCs w:val="false"/>
          <w:color w:val="1A1A1A"/>
          <w:sz w:val="20"/>
          <w:szCs w:val="20"/>
        </w:rPr>
        <w:t xml:space="preserve">Proactive alerting prevents surprise bills and enables rapid response to cost spikes:</w:t>
      </w:r>
    </w:p>
    <w:p>
      <w:pPr>
        <w:pStyle w:val="ListParagraph"/>
        <w:numPr>
          <w:ilvl w:val="0"/>
          <w:numId w:val="2"/>
        </w:numPr>
        <w:spacing w:after="40" w:before="40"/>
      </w:pPr>
      <w:r>
        <w:rPr>
          <w:rFonts w:ascii="Arial" w:cs="Arial" w:eastAsia="Arial" w:hAnsi="Arial"/>
          <w:color w:val="1A1A1A"/>
          <w:sz w:val="20"/>
          <w:szCs w:val="20"/>
        </w:rPr>
        <w:t xml:space="preserve">Kubecost budgets: set per-namespace monthly spend caps with Slack/PagerDuty alerts</w:t>
      </w:r>
    </w:p>
    <w:p>
      <w:pPr>
        <w:pStyle w:val="ListParagraph"/>
        <w:numPr>
          <w:ilvl w:val="0"/>
          <w:numId w:val="2"/>
        </w:numPr>
        <w:spacing w:after="40" w:before="40"/>
      </w:pPr>
      <w:r>
        <w:rPr>
          <w:rFonts w:ascii="Arial" w:cs="Arial" w:eastAsia="Arial" w:hAnsi="Arial"/>
          <w:color w:val="1A1A1A"/>
          <w:sz w:val="20"/>
          <w:szCs w:val="20"/>
        </w:rPr>
        <w:t xml:space="preserve">Cloud billing alerts: AWS Budgets, GCP Budget Alerts, Azure Cost Alerts at 80/100% threshold</w:t>
      </w:r>
    </w:p>
    <w:p>
      <w:pPr>
        <w:pStyle w:val="ListParagraph"/>
        <w:numPr>
          <w:ilvl w:val="0"/>
          <w:numId w:val="2"/>
        </w:numPr>
        <w:spacing w:after="40" w:before="40"/>
      </w:pPr>
      <w:r>
        <w:rPr>
          <w:rFonts w:ascii="Arial" w:cs="Arial" w:eastAsia="Arial" w:hAnsi="Arial"/>
          <w:color w:val="1A1A1A"/>
          <w:sz w:val="20"/>
          <w:szCs w:val="20"/>
        </w:rPr>
        <w:t xml:space="preserve">Anomaly detection: Kubecost and cloud tools flag unusual spend increases automatically</w:t>
      </w:r>
    </w:p>
    <w:p>
      <w:pPr>
        <w:pStyle w:val="ListParagraph"/>
        <w:numPr>
          <w:ilvl w:val="0"/>
          <w:numId w:val="2"/>
        </w:numPr>
        <w:spacing w:after="40" w:before="40"/>
      </w:pPr>
      <w:r>
        <w:rPr>
          <w:rFonts w:ascii="Arial" w:cs="Arial" w:eastAsia="Arial" w:hAnsi="Arial"/>
          <w:color w:val="1A1A1A"/>
          <w:sz w:val="20"/>
          <w:szCs w:val="20"/>
        </w:rPr>
        <w:t xml:space="preserve">Weekly cost reports: automated email/Slack summary of top cost drivers per team</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7.4 FinOps in CI/CD Pipelines</w:t>
      </w:r>
    </w:p>
    <w:p>
      <w:pPr>
        <w:spacing w:after="100" w:before="60"/>
      </w:pPr>
      <w:r>
        <w:rPr>
          <w:rFonts w:ascii="Arial" w:cs="Arial" w:eastAsia="Arial" w:hAnsi="Arial"/>
          <w:b w:val="false"/>
          <w:bCs w:val="false"/>
          <w:i w:val="false"/>
          <w:iCs w:val="false"/>
          <w:color w:val="1A1A1A"/>
          <w:sz w:val="20"/>
          <w:szCs w:val="20"/>
        </w:rPr>
        <w:t xml:space="preserve">Embedding cost checks into the delivery pipeline prevents cost regressions from reaching production:</w:t>
      </w:r>
    </w:p>
    <w:p>
      <w:pPr>
        <w:pStyle w:val="ListParagraph"/>
        <w:numPr>
          <w:ilvl w:val="0"/>
          <w:numId w:val="2"/>
        </w:numPr>
        <w:spacing w:after="40" w:before="40"/>
      </w:pPr>
      <w:r>
        <w:rPr>
          <w:rFonts w:ascii="Arial" w:cs="Arial" w:eastAsia="Arial" w:hAnsi="Arial"/>
          <w:color w:val="1A1A1A"/>
          <w:sz w:val="20"/>
          <w:szCs w:val="20"/>
        </w:rPr>
        <w:t xml:space="preserve">Infracost: add Terraform/Helm cost estimates to pull request comments</w:t>
      </w:r>
    </w:p>
    <w:p>
      <w:pPr>
        <w:pStyle w:val="ListParagraph"/>
        <w:numPr>
          <w:ilvl w:val="0"/>
          <w:numId w:val="2"/>
        </w:numPr>
        <w:spacing w:after="40" w:before="40"/>
      </w:pPr>
      <w:r>
        <w:rPr>
          <w:rFonts w:ascii="Arial" w:cs="Arial" w:eastAsia="Arial" w:hAnsi="Arial"/>
          <w:color w:val="1A1A1A"/>
          <w:sz w:val="20"/>
          <w:szCs w:val="20"/>
        </w:rPr>
        <w:t xml:space="preserve">Resource request validation: CI step to flag pods with no requests/limits defined</w:t>
      </w:r>
    </w:p>
    <w:p>
      <w:pPr>
        <w:pStyle w:val="ListParagraph"/>
        <w:numPr>
          <w:ilvl w:val="0"/>
          <w:numId w:val="2"/>
        </w:numPr>
        <w:spacing w:after="40" w:before="40"/>
      </w:pPr>
      <w:r>
        <w:rPr>
          <w:rFonts w:ascii="Arial" w:cs="Arial" w:eastAsia="Arial" w:hAnsi="Arial"/>
          <w:color w:val="1A1A1A"/>
          <w:sz w:val="20"/>
          <w:szCs w:val="20"/>
        </w:rPr>
        <w:t xml:space="preserve">Label compliance check: fail PRs that introduce unlabeled Kubernetes resources</w:t>
      </w:r>
    </w:p>
    <w:p>
      <w:pPr>
        <w:pStyle w:val="ListParagraph"/>
        <w:numPr>
          <w:ilvl w:val="0"/>
          <w:numId w:val="2"/>
        </w:numPr>
        <w:spacing w:after="40" w:before="40"/>
      </w:pPr>
      <w:r>
        <w:rPr>
          <w:rFonts w:ascii="Arial" w:cs="Arial" w:eastAsia="Arial" w:hAnsi="Arial"/>
          <w:color w:val="1A1A1A"/>
          <w:sz w:val="20"/>
          <w:szCs w:val="20"/>
        </w:rPr>
        <w:t xml:space="preserve">Image size gates: warn if a container image exceeds a configured size threshold</w:t>
      </w:r>
    </w:p>
    <w:p>
      <w:pPr>
        <w:pStyle w:val="ListParagraph"/>
        <w:numPr>
          <w:ilvl w:val="0"/>
          <w:numId w:val="2"/>
        </w:numPr>
        <w:spacing w:after="40" w:before="40"/>
      </w:pPr>
      <w:r>
        <w:rPr>
          <w:rFonts w:ascii="Arial" w:cs="Arial" w:eastAsia="Arial" w:hAnsi="Arial"/>
          <w:color w:val="1A1A1A"/>
          <w:sz w:val="20"/>
          <w:szCs w:val="20"/>
        </w:rPr>
        <w:t xml:space="preserve">Cost diff: compare estimated monthly cost before/after a PR</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8. Savings Opportunities &amp; Optimization Actions</w:t>
      </w:r>
    </w:p>
    <w:p>
      <w:pPr>
        <w:spacing w:after="100" w:before="60"/>
      </w:pPr>
      <w:r>
        <w:rPr>
          <w:rFonts w:ascii="Arial" w:cs="Arial" w:eastAsia="Arial" w:hAnsi="Arial"/>
          <w:b w:val="false"/>
          <w:bCs w:val="false"/>
          <w:i w:val="false"/>
          <w:iCs w:val="false"/>
          <w:color w:val="1A1A1A"/>
          <w:sz w:val="20"/>
          <w:szCs w:val="20"/>
        </w:rPr>
        <w:t xml:space="preserve">The following table summarizes the highest-impact FinOps optimization actions, applicable across cloud and on-premises Kubernetes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Optimization Action</w:t>
            </w:r>
          </w:p>
        </w:tc>
        <w:tc>
          <w:tcPr>
            <w:tcW w:type="dxa" w:w="18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47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Right-size oversized pods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center"/>
            </w:pPr>
            <w:r>
              <w:rPr>
                <w:rFonts w:ascii="Arial" w:cs="Arial" w:eastAsia="Arial" w:hAnsi="Arial"/>
                <w:b/>
                <w:bCs/>
                <w:color w:val="1B7A3E"/>
                <w:sz w:val="18"/>
                <w:szCs w:val="18"/>
              </w:rPr>
              <w:t xml:space="preserve">High</w:t>
            </w:r>
          </w:p>
        </w:tc>
        <w:tc>
          <w:tcPr>
            <w:tcW w:type="dxa" w:w="4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Use VPA recommendations; reduce CPU/mem requests by 20–50%</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Enable cluster autoscaling</w:t>
            </w:r>
          </w:p>
        </w:tc>
        <w:tc>
          <w:tcPr>
            <w:tcW w:type="dxa" w:w="1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center"/>
            </w:pPr>
            <w:r>
              <w:rPr>
                <w:rFonts w:ascii="Arial" w:cs="Arial" w:eastAsia="Arial" w:hAnsi="Arial"/>
                <w:b/>
                <w:bCs/>
                <w:color w:val="1B7A3E"/>
                <w:sz w:val="18"/>
                <w:szCs w:val="18"/>
              </w:rPr>
              <w:t xml:space="preserve">High</w:t>
            </w:r>
          </w:p>
        </w:tc>
        <w:tc>
          <w:tcPr>
            <w:tcW w:type="dxa" w:w="4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Karpenter or Cluster Autoscaler; terminate idle nodes automatically</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Use Spot/Preemptible nodes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center"/>
            </w:pPr>
            <w:r>
              <w:rPr>
                <w:rFonts w:ascii="Arial" w:cs="Arial" w:eastAsia="Arial" w:hAnsi="Arial"/>
                <w:b/>
                <w:bCs/>
                <w:color w:val="1B7A3E"/>
                <w:sz w:val="18"/>
                <w:szCs w:val="18"/>
              </w:rPr>
              <w:t xml:space="preserve">High</w:t>
            </w:r>
          </w:p>
        </w:tc>
        <w:tc>
          <w:tcPr>
            <w:tcW w:type="dxa" w:w="4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60–90% cost reduction; use with graceful disruption handling</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Scale-to-zero with KEDA</w:t>
            </w:r>
          </w:p>
        </w:tc>
        <w:tc>
          <w:tcPr>
            <w:tcW w:type="dxa" w:w="1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Medium</w:t>
            </w:r>
          </w:p>
        </w:tc>
        <w:tc>
          <w:tcPr>
            <w:tcW w:type="dxa" w:w="4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Eliminate idle pod costs; great for batch and async workloads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Namespace resource quotas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Medium</w:t>
            </w:r>
          </w:p>
        </w:tc>
        <w:tc>
          <w:tcPr>
            <w:tcW w:type="dxa" w:w="4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Prevent unbounded growth; enforce team budgets</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Consolidate small namespaces</w:t>
            </w:r>
          </w:p>
        </w:tc>
        <w:tc>
          <w:tcPr>
            <w:tcW w:type="dxa" w:w="1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Medium</w:t>
            </w:r>
          </w:p>
        </w:tc>
        <w:tc>
          <w:tcPr>
            <w:tcW w:type="dxa" w:w="4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Improve bin-packing; reduce per-namespace overhead</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Reserved/Committed use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center"/>
            </w:pPr>
            <w:r>
              <w:rPr>
                <w:rFonts w:ascii="Arial" w:cs="Arial" w:eastAsia="Arial" w:hAnsi="Arial"/>
                <w:b/>
                <w:bCs/>
                <w:color w:val="1B7A3E"/>
                <w:sz w:val="18"/>
                <w:szCs w:val="18"/>
              </w:rPr>
              <w:t xml:space="preserve">High</w:t>
            </w:r>
          </w:p>
        </w:tc>
        <w:tc>
          <w:tcPr>
            <w:tcW w:type="dxa" w:w="4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1–3yr commitments for baseline workloads; 30–40% savings</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Remove unused namespaces</w:t>
            </w:r>
          </w:p>
        </w:tc>
        <w:tc>
          <w:tcPr>
            <w:tcW w:type="dxa" w:w="1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Medium</w:t>
            </w:r>
          </w:p>
        </w:tc>
        <w:tc>
          <w:tcPr>
            <w:tcW w:type="dxa" w:w="4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Audit and delete stale environments; reclaim resources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Optimize storage classes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Medium</w:t>
            </w:r>
          </w:p>
        </w:tc>
        <w:tc>
          <w:tcPr>
            <w:tcW w:type="dxa" w:w="4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Downgrade to standard tier for non-critical PVCs</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Multi-arch nodes (ARM)</w:t>
            </w:r>
          </w:p>
        </w:tc>
        <w:tc>
          <w:tcPr>
            <w:tcW w:type="dxa" w:w="1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Medium</w:t>
            </w:r>
          </w:p>
        </w:tc>
        <w:tc>
          <w:tcPr>
            <w:tcW w:type="dxa" w:w="4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Graviton/Ampere nodes; 20–40% cheaper per vCPU</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Image size optimization</w:t>
            </w:r>
          </w:p>
        </w:tc>
        <w:tc>
          <w:tcPr>
            <w:tcW w:type="dxa" w:w="1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center"/>
            </w:pPr>
            <w:r>
              <w:rPr>
                <w:rFonts w:ascii="Arial" w:cs="Arial" w:eastAsia="Arial" w:hAnsi="Arial"/>
                <w:b/>
                <w:bCs/>
                <w:color w:val="595959"/>
                <w:sz w:val="18"/>
                <w:szCs w:val="18"/>
              </w:rPr>
              <w:t xml:space="preserve">Low</w:t>
            </w:r>
          </w:p>
        </w:tc>
        <w:tc>
          <w:tcPr>
            <w:tcW w:type="dxa" w:w="47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Smaller images → faster pulls, less registry storage cost</w:t>
            </w:r>
          </w:p>
        </w:tc>
      </w:tr>
      <w:tr>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Limit log retention</w:t>
            </w:r>
          </w:p>
        </w:tc>
        <w:tc>
          <w:tcPr>
            <w:tcW w:type="dxa" w:w="1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center"/>
            </w:pPr>
            <w:r>
              <w:rPr>
                <w:rFonts w:ascii="Arial" w:cs="Arial" w:eastAsia="Arial" w:hAnsi="Arial"/>
                <w:b/>
                <w:bCs/>
                <w:color w:val="595959"/>
                <w:sz w:val="18"/>
                <w:szCs w:val="18"/>
              </w:rPr>
              <w:t xml:space="preserve">Low</w:t>
            </w:r>
          </w:p>
        </w:tc>
        <w:tc>
          <w:tcPr>
            <w:tcW w:type="dxa" w:w="47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Reduce logging verbosity; set retention policies on log stores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8.1 Reserved Capacity Planning</w:t>
      </w:r>
    </w:p>
    <w:p>
      <w:pPr>
        <w:spacing w:after="100" w:before="60"/>
      </w:pPr>
      <w:r>
        <w:rPr>
          <w:rFonts w:ascii="Arial" w:cs="Arial" w:eastAsia="Arial" w:hAnsi="Arial"/>
          <w:b w:val="false"/>
          <w:bCs w:val="false"/>
          <w:i w:val="false"/>
          <w:iCs w:val="false"/>
          <w:color w:val="1A1A1A"/>
          <w:sz w:val="20"/>
          <w:szCs w:val="20"/>
        </w:rPr>
        <w:t xml:space="preserve">For cloud deployments, baseline workloads should be covered with reserved/committed pricing:</w:t>
      </w:r>
    </w:p>
    <w:p>
      <w:pPr>
        <w:pStyle w:val="ListParagraph"/>
        <w:numPr>
          <w:ilvl w:val="0"/>
          <w:numId w:val="2"/>
        </w:numPr>
        <w:spacing w:after="40" w:before="40"/>
      </w:pPr>
      <w:r>
        <w:rPr>
          <w:rFonts w:ascii="Arial" w:cs="Arial" w:eastAsia="Arial" w:hAnsi="Arial"/>
          <w:color w:val="1A1A1A"/>
          <w:sz w:val="20"/>
          <w:szCs w:val="20"/>
        </w:rPr>
        <w:t xml:space="preserve">AWS Savings Plans: 1–3 year compute commitments; 30–40% savings over on-demand</w:t>
      </w:r>
    </w:p>
    <w:p>
      <w:pPr>
        <w:pStyle w:val="ListParagraph"/>
        <w:numPr>
          <w:ilvl w:val="0"/>
          <w:numId w:val="2"/>
        </w:numPr>
        <w:spacing w:after="40" w:before="40"/>
      </w:pPr>
      <w:r>
        <w:rPr>
          <w:rFonts w:ascii="Arial" w:cs="Arial" w:eastAsia="Arial" w:hAnsi="Arial"/>
          <w:color w:val="1A1A1A"/>
          <w:sz w:val="20"/>
          <w:szCs w:val="20"/>
        </w:rPr>
        <w:t xml:space="preserve">GCP Committed Use Discounts: sustained use + committed use for baseline VM costs</w:t>
      </w:r>
    </w:p>
    <w:p>
      <w:pPr>
        <w:pStyle w:val="ListParagraph"/>
        <w:numPr>
          <w:ilvl w:val="0"/>
          <w:numId w:val="2"/>
        </w:numPr>
        <w:spacing w:after="40" w:before="40"/>
      </w:pPr>
      <w:r>
        <w:rPr>
          <w:rFonts w:ascii="Arial" w:cs="Arial" w:eastAsia="Arial" w:hAnsi="Arial"/>
          <w:color w:val="1A1A1A"/>
          <w:sz w:val="20"/>
          <w:szCs w:val="20"/>
        </w:rPr>
        <w:t xml:space="preserve">Azure Reserved Instances: reserved VM pricing; apply at subscription or resource group level</w:t>
      </w:r>
    </w:p>
    <w:p>
      <w:pPr>
        <w:pStyle w:val="ListParagraph"/>
        <w:numPr>
          <w:ilvl w:val="0"/>
          <w:numId w:val="2"/>
        </w:numPr>
        <w:spacing w:after="40" w:before="40"/>
      </w:pPr>
      <w:r>
        <w:rPr>
          <w:rFonts w:ascii="Arial" w:cs="Arial" w:eastAsia="Arial" w:hAnsi="Arial"/>
          <w:color w:val="1A1A1A"/>
          <w:sz w:val="20"/>
          <w:szCs w:val="20"/>
        </w:rPr>
        <w:t xml:space="preserve">Target: reserve 60–70% of baseline node capacity; leave 30–40% for on-demand/spot flexibility</w:t>
      </w:r>
    </w:p>
    <w:p>
      <w:pPr>
        <w:spacing w:after="60" w:before="60"/>
      </w:pPr>
      <w:r>
        <w:t xml:space="preserve"/>
      </w:r>
    </w:p>
    <w:p>
      <w:pPr>
        <w:pBdr>
          <w:left w:val="single" w:color="2E75B6" w:sz="16" w:space="8"/>
        </w:pBdr>
        <w:shd w:fill="DEEAF1" w:val="clear"/>
        <w:spacing w:after="120" w:before="120"/>
        <w:ind w:left="360"/>
      </w:pPr>
      <w:r>
        <w:rPr>
          <w:rFonts w:ascii="Arial" w:cs="Arial" w:eastAsia="Arial" w:hAnsi="Arial"/>
          <w:i/>
          <w:iCs/>
          <w:color w:val="1A1A1A"/>
          <w:sz w:val="20"/>
          <w:szCs w:val="20"/>
        </w:rPr>
        <w:t xml:space="preserve">Combine Savings Plans/CUDs for predictable base load with Spot for burst workloads. This combination typically reduces total cluster cost by 40–60% vs pure on-demand.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8.2 Multi-Tenancy Consolidation</w:t>
      </w:r>
    </w:p>
    <w:p>
      <w:pPr>
        <w:spacing w:after="100" w:before="60"/>
      </w:pPr>
      <w:r>
        <w:rPr>
          <w:rFonts w:ascii="Arial" w:cs="Arial" w:eastAsia="Arial" w:hAnsi="Arial"/>
          <w:b w:val="false"/>
          <w:bCs w:val="false"/>
          <w:i w:val="false"/>
          <w:iCs w:val="false"/>
          <w:color w:val="1A1A1A"/>
          <w:sz w:val="20"/>
          <w:szCs w:val="20"/>
        </w:rPr>
        <w:t xml:space="preserve">Organizations often have too many small clusters. Consolidation reduces control plane overhead and improves bin-packing:</w:t>
      </w:r>
    </w:p>
    <w:p>
      <w:pPr>
        <w:pStyle w:val="ListParagraph"/>
        <w:numPr>
          <w:ilvl w:val="0"/>
          <w:numId w:val="2"/>
        </w:numPr>
        <w:spacing w:after="40" w:before="40"/>
      </w:pPr>
      <w:r>
        <w:rPr>
          <w:rFonts w:ascii="Arial" w:cs="Arial" w:eastAsia="Arial" w:hAnsi="Arial"/>
          <w:color w:val="1A1A1A"/>
          <w:sz w:val="20"/>
          <w:szCs w:val="20"/>
        </w:rPr>
        <w:t xml:space="preserve">Evaluate merging dev/test clusters into a single shared cluster with namespace isolation</w:t>
      </w:r>
    </w:p>
    <w:p>
      <w:pPr>
        <w:pStyle w:val="ListParagraph"/>
        <w:numPr>
          <w:ilvl w:val="0"/>
          <w:numId w:val="2"/>
        </w:numPr>
        <w:spacing w:after="40" w:before="40"/>
      </w:pPr>
      <w:r>
        <w:rPr>
          <w:rFonts w:ascii="Arial" w:cs="Arial" w:eastAsia="Arial" w:hAnsi="Arial"/>
          <w:color w:val="1A1A1A"/>
          <w:sz w:val="20"/>
          <w:szCs w:val="20"/>
        </w:rPr>
        <w:t xml:space="preserve">Use node taints/tolerations and namespace quotas to maintain workload separation</w:t>
      </w:r>
    </w:p>
    <w:p>
      <w:pPr>
        <w:pStyle w:val="ListParagraph"/>
        <w:numPr>
          <w:ilvl w:val="0"/>
          <w:numId w:val="2"/>
        </w:numPr>
        <w:spacing w:after="40" w:before="40"/>
      </w:pPr>
      <w:r>
        <w:rPr>
          <w:rFonts w:ascii="Arial" w:cs="Arial" w:eastAsia="Arial" w:hAnsi="Arial"/>
          <w:color w:val="1A1A1A"/>
          <w:sz w:val="20"/>
          <w:szCs w:val="20"/>
        </w:rPr>
        <w:t xml:space="preserve">Single cluster reduces: EKS/GKE/AKS management fees, monitoring overhead, LB costs</w:t>
      </w:r>
    </w:p>
    <w:p>
      <w:pPr>
        <w:pStyle w:val="ListParagraph"/>
        <w:numPr>
          <w:ilvl w:val="0"/>
          <w:numId w:val="2"/>
        </w:numPr>
        <w:spacing w:after="40" w:before="40"/>
      </w:pPr>
      <w:r>
        <w:rPr>
          <w:rFonts w:ascii="Arial" w:cs="Arial" w:eastAsia="Arial" w:hAnsi="Arial"/>
          <w:color w:val="1A1A1A"/>
          <w:sz w:val="20"/>
          <w:szCs w:val="20"/>
        </w:rPr>
        <w:t xml:space="preserve">On-prem: consolidation reduces physical hardware, rack space, and networking requirements</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9. FinOps Tooling Landscape</w:t>
      </w:r>
    </w:p>
    <w:p>
      <w:pPr>
        <w:spacing w:after="100" w:before="60"/>
      </w:pPr>
      <w:r>
        <w:rPr>
          <w:rFonts w:ascii="Arial" w:cs="Arial" w:eastAsia="Arial" w:hAnsi="Arial"/>
          <w:b w:val="false"/>
          <w:bCs w:val="false"/>
          <w:i w:val="false"/>
          <w:iCs w:val="false"/>
          <w:color w:val="1A1A1A"/>
          <w:sz w:val="20"/>
          <w:szCs w:val="20"/>
        </w:rPr>
        <w:t xml:space="preserve">The following table provides a comprehensive overview of tools commonly used in a Kubernetes FinOps practice: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20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5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Deployment</w:t>
            </w:r>
          </w:p>
        </w:tc>
        <w:tc>
          <w:tcPr>
            <w:tcW w:type="dxa" w:w="258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FinOps Value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Kubecost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Cost monitoring</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Kubernetes-native; per-pod cost allocation</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OpenCost</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Cost monitoring</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CNCF sandbox; open standard for K8s cost</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Karpenter</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Node autoscaling</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(AWS/GCP)</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Provision cheapest nodes; spot integration</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Cluster Autoscaler</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Node autoscaling</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Scale node groups; works with on-prem providers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VPA</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Pod right-sizing</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Vertical pod autoscaler; recommendations mode</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KEDA</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Event-driven scaling</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Scale-to-zero; 60+ built-in scalers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Goldilocks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Recommendations</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VPA-based; dashboard for request tuning</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OPA/Gatekeeper</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Policy enforcement</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Enforce tagging, resource limits via admission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Prometheus + Grafana</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Metrics &amp; dashboards</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Foundation for cost visibility dashboards</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AWS Cost Explorer</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billing</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AWS</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Native billing; savings plan recommendations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Azure Cost Mgmt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billing</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Azure</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Native billing; budgets, alerts, anomaly detection</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GCP Cost Tools</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billing</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GCP</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Billing export to BigQuery; committed use discounts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Crossplane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Infrastructure mgmt</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GitOps-driven infra; cost-aware provisioning</w:t>
            </w:r>
          </w:p>
        </w:tc>
      </w:tr>
      <w:tr>
        <w:tc>
          <w:tcPr>
            <w:tcW w:type="dxa" w:w="2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Argo CD</w:t>
            </w:r>
          </w:p>
        </w:tc>
        <w:tc>
          <w:tcPr>
            <w:tcW w:type="dxa" w:w="20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GitOps delivery</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Enforce cost-tagged deployments; drift detection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Terraform</w:t>
            </w:r>
          </w:p>
        </w:tc>
        <w:tc>
          <w:tcPr>
            <w:tcW w:type="dxa" w:w="20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IaC provisioning</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 On-Prem</w:t>
            </w:r>
          </w:p>
        </w:tc>
        <w:tc>
          <w:tcPr>
            <w:tcW w:type="dxa" w:w="258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Cost estimation (Infracost); prevent overprovisioning</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9.1 Recommended Tool Stack by Maturity</w:t>
      </w:r>
    </w:p>
    <w:p>
      <w:pPr>
        <w:pStyle w:val="Heading3"/>
        <w:spacing w:after="80" w:before="200"/>
      </w:pPr>
      <w:r>
        <w:rPr>
          <w:rFonts w:ascii="Arial" w:cs="Arial" w:eastAsia="Arial" w:hAnsi="Arial"/>
          <w:b/>
          <w:bCs/>
          <w:color w:val="0097A7"/>
          <w:sz w:val="24"/>
          <w:szCs w:val="24"/>
        </w:rPr>
        <w:t xml:space="preserve">Starter Stack (0–3 months)</w:t>
      </w:r>
    </w:p>
    <w:p>
      <w:pPr>
        <w:pStyle w:val="ListParagraph"/>
        <w:numPr>
          <w:ilvl w:val="0"/>
          <w:numId w:val="2"/>
        </w:numPr>
        <w:spacing w:after="40" w:before="40"/>
      </w:pPr>
      <w:r>
        <w:rPr>
          <w:rFonts w:ascii="Arial" w:cs="Arial" w:eastAsia="Arial" w:hAnsi="Arial"/>
          <w:color w:val="1A1A1A"/>
          <w:sz w:val="20"/>
          <w:szCs w:val="20"/>
        </w:rPr>
        <w:t xml:space="preserve">Kubecost (free tier) or OpenCost for cost visibility</w:t>
      </w:r>
    </w:p>
    <w:p>
      <w:pPr>
        <w:pStyle w:val="ListParagraph"/>
        <w:numPr>
          <w:ilvl w:val="0"/>
          <w:numId w:val="2"/>
        </w:numPr>
        <w:spacing w:after="40" w:before="40"/>
      </w:pPr>
      <w:r>
        <w:rPr>
          <w:rFonts w:ascii="Arial" w:cs="Arial" w:eastAsia="Arial" w:hAnsi="Arial"/>
          <w:color w:val="1A1A1A"/>
          <w:sz w:val="20"/>
          <w:szCs w:val="20"/>
        </w:rPr>
        <w:t xml:space="preserve">Prometheus + Grafana for metrics</w:t>
      </w:r>
    </w:p>
    <w:p>
      <w:pPr>
        <w:pStyle w:val="ListParagraph"/>
        <w:numPr>
          <w:ilvl w:val="0"/>
          <w:numId w:val="2"/>
        </w:numPr>
        <w:spacing w:after="40" w:before="40"/>
      </w:pPr>
      <w:r>
        <w:rPr>
          <w:rFonts w:ascii="Arial" w:cs="Arial" w:eastAsia="Arial" w:hAnsi="Arial"/>
          <w:color w:val="1A1A1A"/>
          <w:sz w:val="20"/>
          <w:szCs w:val="20"/>
        </w:rPr>
        <w:t xml:space="preserve">Cluster Autoscaler for node efficiency</w:t>
      </w:r>
    </w:p>
    <w:p>
      <w:pPr>
        <w:pStyle w:val="ListParagraph"/>
        <w:numPr>
          <w:ilvl w:val="0"/>
          <w:numId w:val="2"/>
        </w:numPr>
        <w:spacing w:after="40" w:before="40"/>
      </w:pPr>
      <w:r>
        <w:rPr>
          <w:rFonts w:ascii="Arial" w:cs="Arial" w:eastAsia="Arial" w:hAnsi="Arial"/>
          <w:color w:val="1A1A1A"/>
          <w:sz w:val="20"/>
          <w:szCs w:val="20"/>
        </w:rPr>
        <w:t xml:space="preserve">ResourceQuota and LimitRange for basic governance</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Intermediate Stack (3–12 months)</w:t>
      </w:r>
    </w:p>
    <w:p>
      <w:pPr>
        <w:pStyle w:val="ListParagraph"/>
        <w:numPr>
          <w:ilvl w:val="0"/>
          <w:numId w:val="2"/>
        </w:numPr>
        <w:spacing w:after="40" w:before="40"/>
      </w:pPr>
      <w:r>
        <w:rPr>
          <w:rFonts w:ascii="Arial" w:cs="Arial" w:eastAsia="Arial" w:hAnsi="Arial"/>
          <w:color w:val="1A1A1A"/>
          <w:sz w:val="20"/>
          <w:szCs w:val="20"/>
        </w:rPr>
        <w:t xml:space="preserve">VPA in recommendation mode + Goldilocks dashboard</w:t>
      </w:r>
    </w:p>
    <w:p>
      <w:pPr>
        <w:pStyle w:val="ListParagraph"/>
        <w:numPr>
          <w:ilvl w:val="0"/>
          <w:numId w:val="2"/>
        </w:numPr>
        <w:spacing w:after="40" w:before="40"/>
      </w:pPr>
      <w:r>
        <w:rPr>
          <w:rFonts w:ascii="Arial" w:cs="Arial" w:eastAsia="Arial" w:hAnsi="Arial"/>
          <w:color w:val="1A1A1A"/>
          <w:sz w:val="20"/>
          <w:szCs w:val="20"/>
        </w:rPr>
        <w:t xml:space="preserve">OPA/Gatekeeper for policy enforcement</w:t>
      </w:r>
    </w:p>
    <w:p>
      <w:pPr>
        <w:pStyle w:val="ListParagraph"/>
        <w:numPr>
          <w:ilvl w:val="0"/>
          <w:numId w:val="2"/>
        </w:numPr>
        <w:spacing w:after="40" w:before="40"/>
      </w:pPr>
      <w:r>
        <w:rPr>
          <w:rFonts w:ascii="Arial" w:cs="Arial" w:eastAsia="Arial" w:hAnsi="Arial"/>
          <w:color w:val="1A1A1A"/>
          <w:sz w:val="20"/>
          <w:szCs w:val="20"/>
        </w:rPr>
        <w:t xml:space="preserve">HPA + KEDA for workload scaling</w:t>
      </w:r>
    </w:p>
    <w:p>
      <w:pPr>
        <w:pStyle w:val="ListParagraph"/>
        <w:numPr>
          <w:ilvl w:val="0"/>
          <w:numId w:val="2"/>
        </w:numPr>
        <w:spacing w:after="40" w:before="40"/>
      </w:pPr>
      <w:r>
        <w:rPr>
          <w:rFonts w:ascii="Arial" w:cs="Arial" w:eastAsia="Arial" w:hAnsi="Arial"/>
          <w:color w:val="1A1A1A"/>
          <w:sz w:val="20"/>
          <w:szCs w:val="20"/>
        </w:rPr>
        <w:t xml:space="preserve">Infracost in CI/CD pipeline</w:t>
      </w:r>
    </w:p>
    <w:p>
      <w:pPr>
        <w:pStyle w:val="ListParagraph"/>
        <w:numPr>
          <w:ilvl w:val="0"/>
          <w:numId w:val="2"/>
        </w:numPr>
        <w:spacing w:after="40" w:before="40"/>
      </w:pPr>
      <w:r>
        <w:rPr>
          <w:rFonts w:ascii="Arial" w:cs="Arial" w:eastAsia="Arial" w:hAnsi="Arial"/>
          <w:color w:val="1A1A1A"/>
          <w:sz w:val="20"/>
          <w:szCs w:val="20"/>
        </w:rPr>
        <w:t xml:space="preserve">Cloud-native reserved capacity commitments</w:t>
      </w:r>
    </w:p>
    <w:p>
      <w:pPr>
        <w:spacing w:after="60" w:before="60"/>
      </w:pPr>
      <w:r>
        <w:t xml:space="preserve"/>
      </w:r>
    </w:p>
    <w:p>
      <w:pPr>
        <w:pStyle w:val="Heading3"/>
        <w:spacing w:after="80" w:before="200"/>
      </w:pPr>
      <w:r>
        <w:rPr>
          <w:rFonts w:ascii="Arial" w:cs="Arial" w:eastAsia="Arial" w:hAnsi="Arial"/>
          <w:b/>
          <w:bCs/>
          <w:color w:val="0097A7"/>
          <w:sz w:val="24"/>
          <w:szCs w:val="24"/>
        </w:rPr>
        <w:t xml:space="preserve">Advanced Stack (12+ months)</w:t>
      </w:r>
    </w:p>
    <w:p>
      <w:pPr>
        <w:pStyle w:val="ListParagraph"/>
        <w:numPr>
          <w:ilvl w:val="0"/>
          <w:numId w:val="2"/>
        </w:numPr>
        <w:spacing w:after="40" w:before="40"/>
      </w:pPr>
      <w:r>
        <w:rPr>
          <w:rFonts w:ascii="Arial" w:cs="Arial" w:eastAsia="Arial" w:hAnsi="Arial"/>
          <w:color w:val="1A1A1A"/>
          <w:sz w:val="20"/>
          <w:szCs w:val="20"/>
        </w:rPr>
        <w:t xml:space="preserve">Karpenter (cloud) for intelligent node provisioning</w:t>
      </w:r>
    </w:p>
    <w:p>
      <w:pPr>
        <w:pStyle w:val="ListParagraph"/>
        <w:numPr>
          <w:ilvl w:val="0"/>
          <w:numId w:val="2"/>
        </w:numPr>
        <w:spacing w:after="40" w:before="40"/>
      </w:pPr>
      <w:r>
        <w:rPr>
          <w:rFonts w:ascii="Arial" w:cs="Arial" w:eastAsia="Arial" w:hAnsi="Arial"/>
          <w:color w:val="1A1A1A"/>
          <w:sz w:val="20"/>
          <w:szCs w:val="20"/>
        </w:rPr>
        <w:t xml:space="preserve">Custom Prometheus dashboards with chargeback reporting</w:t>
      </w:r>
    </w:p>
    <w:p>
      <w:pPr>
        <w:pStyle w:val="ListParagraph"/>
        <w:numPr>
          <w:ilvl w:val="0"/>
          <w:numId w:val="2"/>
        </w:numPr>
        <w:spacing w:after="40" w:before="40"/>
      </w:pPr>
      <w:r>
        <w:rPr>
          <w:rFonts w:ascii="Arial" w:cs="Arial" w:eastAsia="Arial" w:hAnsi="Arial"/>
          <w:color w:val="1A1A1A"/>
          <w:sz w:val="20"/>
          <w:szCs w:val="20"/>
        </w:rPr>
        <w:t xml:space="preserve">ML-based anomaly detection and cost forecasting</w:t>
      </w:r>
    </w:p>
    <w:p>
      <w:pPr>
        <w:pStyle w:val="ListParagraph"/>
        <w:numPr>
          <w:ilvl w:val="0"/>
          <w:numId w:val="2"/>
        </w:numPr>
        <w:spacing w:after="40" w:before="40"/>
      </w:pPr>
      <w:r>
        <w:rPr>
          <w:rFonts w:ascii="Arial" w:cs="Arial" w:eastAsia="Arial" w:hAnsi="Arial"/>
          <w:color w:val="1A1A1A"/>
          <w:sz w:val="20"/>
          <w:szCs w:val="20"/>
        </w:rPr>
        <w:t xml:space="preserve">FinOps platform (Apptio Cloudability, CloudHealth, or Harness Cloud Cost)</w:t>
      </w:r>
    </w:p>
    <w:p>
      <w:pPr>
        <w:pStyle w:val="ListParagraph"/>
        <w:numPr>
          <w:ilvl w:val="0"/>
          <w:numId w:val="2"/>
        </w:numPr>
        <w:spacing w:after="40" w:before="40"/>
      </w:pPr>
      <w:r>
        <w:rPr>
          <w:rFonts w:ascii="Arial" w:cs="Arial" w:eastAsia="Arial" w:hAnsi="Arial"/>
          <w:color w:val="1A1A1A"/>
          <w:sz w:val="20"/>
          <w:szCs w:val="20"/>
        </w:rPr>
        <w:t xml:space="preserve">Full GitOps-driven FinOps governance with automated remediation</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10. On-Premises Kubernetes – Specific Considerations</w:t>
      </w:r>
    </w:p>
    <w:p>
      <w:pPr>
        <w:spacing w:after="100" w:before="60"/>
      </w:pPr>
      <w:r>
        <w:rPr>
          <w:rFonts w:ascii="Arial" w:cs="Arial" w:eastAsia="Arial" w:hAnsi="Arial"/>
          <w:b w:val="false"/>
          <w:bCs w:val="false"/>
          <w:i w:val="false"/>
          <w:iCs w:val="false"/>
          <w:color w:val="1A1A1A"/>
          <w:sz w:val="20"/>
          <w:szCs w:val="20"/>
        </w:rPr>
        <w:t xml:space="preserve">On-premises Kubernetes deployments have unique FinOps challenges that differ fundamentally from cloud environments. This section addresses those specifics.</w:t>
      </w:r>
    </w:p>
    <w:p>
      <w:pPr>
        <w:pStyle w:val="Heading2"/>
        <w:spacing w:after="120" w:before="280"/>
      </w:pPr>
      <w:r>
        <w:rPr>
          <w:rFonts w:ascii="Arial" w:cs="Arial" w:eastAsia="Arial" w:hAnsi="Arial"/>
          <w:b/>
          <w:bCs/>
          <w:color w:val="2E75B6"/>
          <w:sz w:val="28"/>
          <w:szCs w:val="28"/>
        </w:rPr>
        <w:t xml:space="preserve">10.1 Capital Expenditure vs Operating Expenditure</w:t>
      </w:r>
    </w:p>
    <w:p>
      <w:pPr>
        <w:spacing w:after="100" w:before="60"/>
      </w:pPr>
      <w:r>
        <w:rPr>
          <w:rFonts w:ascii="Arial" w:cs="Arial" w:eastAsia="Arial" w:hAnsi="Arial"/>
          <w:b w:val="false"/>
          <w:bCs w:val="false"/>
          <w:i w:val="false"/>
          <w:iCs w:val="false"/>
          <w:color w:val="1A1A1A"/>
          <w:sz w:val="20"/>
          <w:szCs w:val="20"/>
        </w:rPr>
        <w:t xml:space="preserve">On-premises infrastructure involves CapEx-dominated cost structures:</w:t>
      </w:r>
    </w:p>
    <w:p>
      <w:pPr>
        <w:pStyle w:val="ListParagraph"/>
        <w:numPr>
          <w:ilvl w:val="0"/>
          <w:numId w:val="2"/>
        </w:numPr>
        <w:spacing w:after="40" w:before="40"/>
      </w:pPr>
      <w:r>
        <w:rPr>
          <w:rFonts w:ascii="Arial" w:cs="Arial" w:eastAsia="Arial" w:hAnsi="Arial"/>
          <w:color w:val="1A1A1A"/>
          <w:sz w:val="20"/>
          <w:szCs w:val="20"/>
        </w:rPr>
        <w:t xml:space="preserve">Hardware (servers, storage, networking): typically amortized over 3–5 years</w:t>
      </w:r>
    </w:p>
    <w:p>
      <w:pPr>
        <w:pStyle w:val="ListParagraph"/>
        <w:numPr>
          <w:ilvl w:val="0"/>
          <w:numId w:val="2"/>
        </w:numPr>
        <w:spacing w:after="40" w:before="40"/>
      </w:pPr>
      <w:r>
        <w:rPr>
          <w:rFonts w:ascii="Arial" w:cs="Arial" w:eastAsia="Arial" w:hAnsi="Arial"/>
          <w:color w:val="1A1A1A"/>
          <w:sz w:val="20"/>
          <w:szCs w:val="20"/>
        </w:rPr>
        <w:t xml:space="preserve">Data center costs (rent, power, cooling): fixed monthly OpEx</w:t>
      </w:r>
    </w:p>
    <w:p>
      <w:pPr>
        <w:pStyle w:val="ListParagraph"/>
        <w:numPr>
          <w:ilvl w:val="0"/>
          <w:numId w:val="2"/>
        </w:numPr>
        <w:spacing w:after="40" w:before="40"/>
      </w:pPr>
      <w:r>
        <w:rPr>
          <w:rFonts w:ascii="Arial" w:cs="Arial" w:eastAsia="Arial" w:hAnsi="Arial"/>
          <w:color w:val="1A1A1A"/>
          <w:sz w:val="20"/>
          <w:szCs w:val="20"/>
        </w:rPr>
        <w:t xml:space="preserve">Software licensing (OS, monitoring, security): annual OpEx</w:t>
      </w:r>
    </w:p>
    <w:p>
      <w:pPr>
        <w:pStyle w:val="ListParagraph"/>
        <w:numPr>
          <w:ilvl w:val="0"/>
          <w:numId w:val="2"/>
        </w:numPr>
        <w:spacing w:after="40" w:before="40"/>
      </w:pPr>
      <w:r>
        <w:rPr>
          <w:rFonts w:ascii="Arial" w:cs="Arial" w:eastAsia="Arial" w:hAnsi="Arial"/>
          <w:color w:val="1A1A1A"/>
          <w:sz w:val="20"/>
          <w:szCs w:val="20"/>
        </w:rPr>
        <w:t xml:space="preserve">Staff (platform engineers, network, storage, security): largest ongoing OpEx</w:t>
      </w:r>
    </w:p>
    <w:p>
      <w:pPr>
        <w:spacing w:after="60" w:before="60"/>
      </w:pPr>
      <w:r>
        <w:t xml:space="preserve"/>
      </w:r>
    </w:p>
    <w:p>
      <w:pPr>
        <w:spacing w:after="100" w:before="60"/>
      </w:pPr>
      <w:r>
        <w:rPr>
          <w:rFonts w:ascii="Arial" w:cs="Arial" w:eastAsia="Arial" w:hAnsi="Arial"/>
          <w:b w:val="false"/>
          <w:bCs w:val="false"/>
          <w:i w:val="false"/>
          <w:iCs w:val="false"/>
          <w:color w:val="1A1A1A"/>
          <w:sz w:val="20"/>
          <w:szCs w:val="20"/>
        </w:rPr>
        <w:t xml:space="preserve">FinOps in on-premises environments is fundamentally about maximizing utilization of already-purchased capacity and deferring future hardware purchases through efficiency gains.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10.2 Capacity Planning for On-Premises</w:t>
      </w:r>
    </w:p>
    <w:p>
      <w:pPr>
        <w:spacing w:after="100" w:before="60"/>
      </w:pPr>
      <w:r>
        <w:rPr>
          <w:rFonts w:ascii="Arial" w:cs="Arial" w:eastAsia="Arial" w:hAnsi="Arial"/>
          <w:b w:val="false"/>
          <w:bCs w:val="false"/>
          <w:i w:val="false"/>
          <w:iCs w:val="false"/>
          <w:color w:val="1A1A1A"/>
          <w:sz w:val="20"/>
          <w:szCs w:val="20"/>
        </w:rPr>
        <w:t xml:space="preserve">Without elastic cloud capacity, on-premises FinOps requires accurate forecasting:</w:t>
      </w:r>
    </w:p>
    <w:p>
      <w:pPr>
        <w:pStyle w:val="ListParagraph"/>
        <w:numPr>
          <w:ilvl w:val="0"/>
          <w:numId w:val="2"/>
        </w:numPr>
        <w:spacing w:after="40" w:before="40"/>
      </w:pPr>
      <w:r>
        <w:rPr>
          <w:rFonts w:ascii="Arial" w:cs="Arial" w:eastAsia="Arial" w:hAnsi="Arial"/>
          <w:color w:val="1A1A1A"/>
          <w:sz w:val="20"/>
          <w:szCs w:val="20"/>
        </w:rPr>
        <w:t xml:space="preserve">Model growth by team/project using historical resource consumption trends</w:t>
      </w:r>
    </w:p>
    <w:p>
      <w:pPr>
        <w:pStyle w:val="ListParagraph"/>
        <w:numPr>
          <w:ilvl w:val="0"/>
          <w:numId w:val="2"/>
        </w:numPr>
        <w:spacing w:after="40" w:before="40"/>
      </w:pPr>
      <w:r>
        <w:rPr>
          <w:rFonts w:ascii="Arial" w:cs="Arial" w:eastAsia="Arial" w:hAnsi="Arial"/>
          <w:color w:val="1A1A1A"/>
          <w:sz w:val="20"/>
          <w:szCs w:val="20"/>
        </w:rPr>
        <w:t xml:space="preserve">Maintain a 15–20% headroom buffer to accommodate burst workloads</w:t>
      </w:r>
    </w:p>
    <w:p>
      <w:pPr>
        <w:pStyle w:val="ListParagraph"/>
        <w:numPr>
          <w:ilvl w:val="0"/>
          <w:numId w:val="2"/>
        </w:numPr>
        <w:spacing w:after="40" w:before="40"/>
      </w:pPr>
      <w:r>
        <w:rPr>
          <w:rFonts w:ascii="Arial" w:cs="Arial" w:eastAsia="Arial" w:hAnsi="Arial"/>
          <w:color w:val="1A1A1A"/>
          <w:sz w:val="20"/>
          <w:szCs w:val="20"/>
        </w:rPr>
        <w:t xml:space="preserve">Track hardware lifecycle and plan refresh cycles aligned with workload growth</w:t>
      </w:r>
    </w:p>
    <w:p>
      <w:pPr>
        <w:pStyle w:val="ListParagraph"/>
        <w:numPr>
          <w:ilvl w:val="0"/>
          <w:numId w:val="2"/>
        </w:numPr>
        <w:spacing w:after="40" w:before="40"/>
      </w:pPr>
      <w:r>
        <w:rPr>
          <w:rFonts w:ascii="Arial" w:cs="Arial" w:eastAsia="Arial" w:hAnsi="Arial"/>
          <w:color w:val="1A1A1A"/>
          <w:sz w:val="20"/>
          <w:szCs w:val="20"/>
        </w:rPr>
        <w:t xml:space="preserve">Use cluster autoscaler with Cluster API to automate physical node provisioning where supported</w:t>
      </w:r>
    </w:p>
    <w:p>
      <w:pPr>
        <w:pStyle w:val="ListParagraph"/>
        <w:numPr>
          <w:ilvl w:val="0"/>
          <w:numId w:val="2"/>
        </w:numPr>
        <w:spacing w:after="40" w:before="40"/>
      </w:pPr>
      <w:r>
        <w:rPr>
          <w:rFonts w:ascii="Arial" w:cs="Arial" w:eastAsia="Arial" w:hAnsi="Arial"/>
          <w:color w:val="1A1A1A"/>
          <w:sz w:val="20"/>
          <w:szCs w:val="20"/>
        </w:rPr>
        <w:t xml:space="preserve">Implement hardware reservation/booking processes for new projects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10.3 Power &amp; Cooling as a FinOps Variable</w:t>
      </w:r>
    </w:p>
    <w:p>
      <w:pPr>
        <w:spacing w:after="100" w:before="60"/>
      </w:pPr>
      <w:r>
        <w:rPr>
          <w:rFonts w:ascii="Arial" w:cs="Arial" w:eastAsia="Arial" w:hAnsi="Arial"/>
          <w:b w:val="false"/>
          <w:bCs w:val="false"/>
          <w:i w:val="false"/>
          <w:iCs w:val="false"/>
          <w:color w:val="1A1A1A"/>
          <w:sz w:val="20"/>
          <w:szCs w:val="20"/>
        </w:rPr>
        <w:t xml:space="preserve">For on-premises clusters, power efficiency directly impacts costs:</w:t>
      </w:r>
    </w:p>
    <w:p>
      <w:pPr>
        <w:pStyle w:val="ListParagraph"/>
        <w:numPr>
          <w:ilvl w:val="0"/>
          <w:numId w:val="2"/>
        </w:numPr>
        <w:spacing w:after="40" w:before="40"/>
      </w:pPr>
      <w:r>
        <w:rPr>
          <w:rFonts w:ascii="Arial" w:cs="Arial" w:eastAsia="Arial" w:hAnsi="Arial"/>
          <w:color w:val="1A1A1A"/>
          <w:sz w:val="20"/>
          <w:szCs w:val="20"/>
        </w:rPr>
        <w:t xml:space="preserve">Monitor server power consumption (IPMI/BMC power readings via Prometheus)</w:t>
      </w:r>
    </w:p>
    <w:p>
      <w:pPr>
        <w:pStyle w:val="ListParagraph"/>
        <w:numPr>
          <w:ilvl w:val="0"/>
          <w:numId w:val="2"/>
        </w:numPr>
        <w:spacing w:after="40" w:before="40"/>
      </w:pPr>
      <w:r>
        <w:rPr>
          <w:rFonts w:ascii="Arial" w:cs="Arial" w:eastAsia="Arial" w:hAnsi="Arial"/>
          <w:color w:val="1A1A1A"/>
          <w:sz w:val="20"/>
          <w:szCs w:val="20"/>
        </w:rPr>
        <w:t xml:space="preserve">Consolidate workloads onto fewer physical servers and power down idle hardware</w:t>
      </w:r>
    </w:p>
    <w:p>
      <w:pPr>
        <w:pStyle w:val="ListParagraph"/>
        <w:numPr>
          <w:ilvl w:val="0"/>
          <w:numId w:val="2"/>
        </w:numPr>
        <w:spacing w:after="40" w:before="40"/>
      </w:pPr>
      <w:r>
        <w:rPr>
          <w:rFonts w:ascii="Arial" w:cs="Arial" w:eastAsia="Arial" w:hAnsi="Arial"/>
          <w:color w:val="1A1A1A"/>
          <w:sz w:val="20"/>
          <w:szCs w:val="20"/>
        </w:rPr>
        <w:t xml:space="preserve">Track PUE (Power Usage Effectiveness) as a FinOps KPI</w:t>
      </w:r>
    </w:p>
    <w:p>
      <w:pPr>
        <w:pStyle w:val="ListParagraph"/>
        <w:numPr>
          <w:ilvl w:val="0"/>
          <w:numId w:val="2"/>
        </w:numPr>
        <w:spacing w:after="40" w:before="40"/>
      </w:pPr>
      <w:r>
        <w:rPr>
          <w:rFonts w:ascii="Arial" w:cs="Arial" w:eastAsia="Arial" w:hAnsi="Arial"/>
          <w:color w:val="1A1A1A"/>
          <w:sz w:val="20"/>
          <w:szCs w:val="20"/>
        </w:rPr>
        <w:t xml:space="preserve">Schedule batch workloads during off-peak hours (lower cooling load)</w:t>
      </w:r>
    </w:p>
    <w:p>
      <w:pPr>
        <w:pStyle w:val="ListParagraph"/>
        <w:numPr>
          <w:ilvl w:val="0"/>
          <w:numId w:val="2"/>
        </w:numPr>
        <w:spacing w:after="40" w:before="40"/>
      </w:pPr>
      <w:r>
        <w:rPr>
          <w:rFonts w:ascii="Arial" w:cs="Arial" w:eastAsia="Arial" w:hAnsi="Arial"/>
          <w:color w:val="1A1A1A"/>
          <w:sz w:val="20"/>
          <w:szCs w:val="20"/>
        </w:rPr>
        <w:t xml:space="preserve">Evaluate high-efficiency ARM servers (Ampere Altra) for workloads supporting ARM</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10.4 Storage Cost Modeling On-Prem</w:t>
      </w:r>
    </w:p>
    <w:p>
      <w:pPr>
        <w:spacing w:after="100" w:before="60"/>
      </w:pPr>
      <w:r>
        <w:rPr>
          <w:rFonts w:ascii="Arial" w:cs="Arial" w:eastAsia="Arial" w:hAnsi="Arial"/>
          <w:b w:val="false"/>
          <w:bCs w:val="false"/>
          <w:i w:val="false"/>
          <w:iCs w:val="false"/>
          <w:color w:val="1A1A1A"/>
          <w:sz w:val="20"/>
          <w:szCs w:val="20"/>
        </w:rPr>
        <w:t xml:space="preserve">Storage costs in on-premises environments are often underaccounted:</w:t>
      </w:r>
    </w:p>
    <w:p>
      <w:pPr>
        <w:pStyle w:val="ListParagraph"/>
        <w:numPr>
          <w:ilvl w:val="0"/>
          <w:numId w:val="2"/>
        </w:numPr>
        <w:spacing w:after="40" w:before="40"/>
      </w:pPr>
      <w:r>
        <w:rPr>
          <w:rFonts w:ascii="Arial" w:cs="Arial" w:eastAsia="Arial" w:hAnsi="Arial"/>
          <w:color w:val="1A1A1A"/>
          <w:sz w:val="20"/>
          <w:szCs w:val="20"/>
        </w:rPr>
        <w:t xml:space="preserve">Calculate per-GB cost: (storage hardware CapEx + support + power) / total raw GB / 36 months</w:t>
      </w:r>
    </w:p>
    <w:p>
      <w:pPr>
        <w:pStyle w:val="ListParagraph"/>
        <w:numPr>
          <w:ilvl w:val="0"/>
          <w:numId w:val="2"/>
        </w:numPr>
        <w:spacing w:after="40" w:before="40"/>
      </w:pPr>
      <w:r>
        <w:rPr>
          <w:rFonts w:ascii="Arial" w:cs="Arial" w:eastAsia="Arial" w:hAnsi="Arial"/>
          <w:color w:val="1A1A1A"/>
          <w:sz w:val="20"/>
          <w:szCs w:val="20"/>
        </w:rPr>
        <w:t xml:space="preserve">Tiered storage: Hot (NVMe SSD), Warm (SAS SSD/HDD), Cold (Ceph object storage)</w:t>
      </w:r>
    </w:p>
    <w:p>
      <w:pPr>
        <w:pStyle w:val="ListParagraph"/>
        <w:numPr>
          <w:ilvl w:val="0"/>
          <w:numId w:val="2"/>
        </w:numPr>
        <w:spacing w:after="40" w:before="40"/>
      </w:pPr>
      <w:r>
        <w:rPr>
          <w:rFonts w:ascii="Arial" w:cs="Arial" w:eastAsia="Arial" w:hAnsi="Arial"/>
          <w:color w:val="1A1A1A"/>
          <w:sz w:val="20"/>
          <w:szCs w:val="20"/>
        </w:rPr>
        <w:t xml:space="preserve">Ceph is the most common on-prem storage backend; monitor cluster efficiency and CRUSH maps</w:t>
      </w:r>
    </w:p>
    <w:p>
      <w:pPr>
        <w:pStyle w:val="ListParagraph"/>
        <w:numPr>
          <w:ilvl w:val="0"/>
          <w:numId w:val="2"/>
        </w:numPr>
        <w:spacing w:after="40" w:before="40"/>
      </w:pPr>
      <w:r>
        <w:rPr>
          <w:rFonts w:ascii="Arial" w:cs="Arial" w:eastAsia="Arial" w:hAnsi="Arial"/>
          <w:color w:val="1A1A1A"/>
          <w:sz w:val="20"/>
          <w:szCs w:val="20"/>
        </w:rPr>
        <w:t xml:space="preserve">Implement PVC quotas and storage class restrictions as aggressively as cloud environments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10.5 Hybrid Cloud FinOps</w:t>
      </w:r>
    </w:p>
    <w:p>
      <w:pPr>
        <w:spacing w:after="100" w:before="60"/>
      </w:pPr>
      <w:r>
        <w:rPr>
          <w:rFonts w:ascii="Arial" w:cs="Arial" w:eastAsia="Arial" w:hAnsi="Arial"/>
          <w:b w:val="false"/>
          <w:bCs w:val="false"/>
          <w:i w:val="false"/>
          <w:iCs w:val="false"/>
          <w:color w:val="1A1A1A"/>
          <w:sz w:val="20"/>
          <w:szCs w:val="20"/>
        </w:rPr>
        <w:t xml:space="preserve">Many organizations run Kubernetes across both cloud and on-premises, requiring unified cost visibility:</w:t>
      </w:r>
    </w:p>
    <w:p>
      <w:pPr>
        <w:pStyle w:val="ListParagraph"/>
        <w:numPr>
          <w:ilvl w:val="0"/>
          <w:numId w:val="2"/>
        </w:numPr>
        <w:spacing w:after="40" w:before="40"/>
      </w:pPr>
      <w:r>
        <w:rPr>
          <w:rFonts w:ascii="Arial" w:cs="Arial" w:eastAsia="Arial" w:hAnsi="Arial"/>
          <w:color w:val="1A1A1A"/>
          <w:sz w:val="20"/>
          <w:szCs w:val="20"/>
        </w:rPr>
        <w:t xml:space="preserve">Deploy a multi-cluster Kubecost or OpenCost instance to aggregate costs</w:t>
      </w:r>
    </w:p>
    <w:p>
      <w:pPr>
        <w:pStyle w:val="ListParagraph"/>
        <w:numPr>
          <w:ilvl w:val="0"/>
          <w:numId w:val="2"/>
        </w:numPr>
        <w:spacing w:after="40" w:before="40"/>
      </w:pPr>
      <w:r>
        <w:rPr>
          <w:rFonts w:ascii="Arial" w:cs="Arial" w:eastAsia="Arial" w:hAnsi="Arial"/>
          <w:color w:val="1A1A1A"/>
          <w:sz w:val="20"/>
          <w:szCs w:val="20"/>
        </w:rPr>
        <w:t xml:space="preserve">Normalize cost units: convert on-prem costs to vCPU-hour and GB-hour rates comparable to cloud</w:t>
      </w:r>
    </w:p>
    <w:p>
      <w:pPr>
        <w:pStyle w:val="ListParagraph"/>
        <w:numPr>
          <w:ilvl w:val="0"/>
          <w:numId w:val="2"/>
        </w:numPr>
        <w:spacing w:after="40" w:before="40"/>
      </w:pPr>
      <w:r>
        <w:rPr>
          <w:rFonts w:ascii="Arial" w:cs="Arial" w:eastAsia="Arial" w:hAnsi="Arial"/>
          <w:color w:val="1A1A1A"/>
          <w:sz w:val="20"/>
          <w:szCs w:val="20"/>
        </w:rPr>
        <w:t xml:space="preserve">Track workload placement decisions (cloud vs on-prem) and their cost implications</w:t>
      </w:r>
    </w:p>
    <w:p>
      <w:pPr>
        <w:pStyle w:val="ListParagraph"/>
        <w:numPr>
          <w:ilvl w:val="0"/>
          <w:numId w:val="2"/>
        </w:numPr>
        <w:spacing w:after="40" w:before="40"/>
      </w:pPr>
      <w:r>
        <w:rPr>
          <w:rFonts w:ascii="Arial" w:cs="Arial" w:eastAsia="Arial" w:hAnsi="Arial"/>
          <w:color w:val="1A1A1A"/>
          <w:sz w:val="20"/>
          <w:szCs w:val="20"/>
        </w:rPr>
        <w:t xml:space="preserve">Use Anthos (GCP), Azure Arc, or AWS Outposts for unified management in hybrid environments</w:t>
      </w:r>
    </w:p>
    <w:p>
      <w:pPr>
        <w:pStyle w:val="ListParagraph"/>
        <w:numPr>
          <w:ilvl w:val="0"/>
          <w:numId w:val="2"/>
        </w:numPr>
        <w:spacing w:after="40" w:before="40"/>
      </w:pPr>
      <w:r>
        <w:rPr>
          <w:rFonts w:ascii="Arial" w:cs="Arial" w:eastAsia="Arial" w:hAnsi="Arial"/>
          <w:color w:val="1A1A1A"/>
          <w:sz w:val="20"/>
          <w:szCs w:val="20"/>
        </w:rPr>
        <w:t xml:space="preserve">Implement a cost-aware workload scheduler that considers both cost and latency for placement decisions</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11. FinOps Maturity Model</w:t>
      </w:r>
    </w:p>
    <w:p>
      <w:pPr>
        <w:spacing w:after="100" w:before="60"/>
      </w:pPr>
      <w:r>
        <w:rPr>
          <w:rFonts w:ascii="Arial" w:cs="Arial" w:eastAsia="Arial" w:hAnsi="Arial"/>
          <w:b w:val="false"/>
          <w:bCs w:val="false"/>
          <w:i w:val="false"/>
          <w:iCs w:val="false"/>
          <w:color w:val="1A1A1A"/>
          <w:sz w:val="20"/>
          <w:szCs w:val="20"/>
        </w:rPr>
        <w:t xml:space="preserve">The FinOps Foundation defines a maturity model to help organizations understand their current state and progression path. The following model has been adapted specifically for Kubernetes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20"/>
        <w:gridCol w:w="2320"/>
        <w:gridCol w:w="3320"/>
      </w:tblGrid>
      <w:tr>
        <w:tc>
          <w:tcPr>
            <w:tcW w:type="dxa" w:w="14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tcW w:type="dxa" w:w="232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32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332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Capabilities</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Level 1</w:t>
            </w:r>
          </w:p>
        </w:tc>
        <w:tc>
          <w:tcPr>
            <w:tcW w:type="dxa" w:w="2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Crawl</w:t>
            </w:r>
          </w:p>
        </w:tc>
        <w:tc>
          <w:tcPr>
            <w:tcW w:type="dxa" w:w="2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Basic visibility</w:t>
            </w:r>
          </w:p>
        </w:tc>
        <w:tc>
          <w:tcPr>
            <w:tcW w:type="dxa" w:w="3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Cloud billing dashboards; namespace costs visible; no allocation</w:t>
            </w:r>
          </w:p>
        </w:tc>
      </w:tr>
      <w:tr>
        <w:tc>
          <w:tcPr>
            <w:tcW w:type="dxa" w:w="1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Level 2</w:t>
            </w:r>
          </w:p>
        </w:tc>
        <w:tc>
          <w:tcPr>
            <w:tcW w:type="dxa" w:w="232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Walk</w:t>
            </w:r>
          </w:p>
        </w:tc>
        <w:tc>
          <w:tcPr>
            <w:tcW w:type="dxa" w:w="232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Allocation</w:t>
            </w:r>
          </w:p>
        </w:tc>
        <w:tc>
          <w:tcPr>
            <w:tcW w:type="dxa" w:w="332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Tags enforced; showback reports; teams see their costs</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Level 3</w:t>
            </w:r>
          </w:p>
        </w:tc>
        <w:tc>
          <w:tcPr>
            <w:tcW w:type="dxa" w:w="2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Run</w:t>
            </w:r>
          </w:p>
        </w:tc>
        <w:tc>
          <w:tcPr>
            <w:tcW w:type="dxa" w:w="2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Optimization</w:t>
            </w:r>
          </w:p>
        </w:tc>
        <w:tc>
          <w:tcPr>
            <w:tcW w:type="dxa" w:w="3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Right-sizing active; autoscaling tuned; quota policies in place</w:t>
            </w:r>
          </w:p>
        </w:tc>
      </w:tr>
      <w:tr>
        <w:tc>
          <w:tcPr>
            <w:tcW w:type="dxa" w:w="1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Level 4</w:t>
            </w:r>
          </w:p>
        </w:tc>
        <w:tc>
          <w:tcPr>
            <w:tcW w:type="dxa" w:w="232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Fly</w:t>
            </w:r>
          </w:p>
        </w:tc>
        <w:tc>
          <w:tcPr>
            <w:tcW w:type="dxa" w:w="232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Automation</w:t>
            </w:r>
          </w:p>
        </w:tc>
        <w:tc>
          <w:tcPr>
            <w:tcW w:type="dxa" w:w="332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FinOps-as-code; auto-remediation; cost gates in CI/CD pipelines</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Level 5</w:t>
            </w:r>
          </w:p>
        </w:tc>
        <w:tc>
          <w:tcPr>
            <w:tcW w:type="dxa" w:w="2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Soar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Prediction</w:t>
            </w:r>
          </w:p>
        </w:tc>
        <w:tc>
          <w:tcPr>
            <w:tcW w:type="dxa" w:w="332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ML-driven forecasting; anomaly detection; unit economics tracked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11.1 Organizational Change Management</w:t>
      </w:r>
    </w:p>
    <w:p>
      <w:pPr>
        <w:spacing w:after="100" w:before="60"/>
      </w:pPr>
      <w:r>
        <w:rPr>
          <w:rFonts w:ascii="Arial" w:cs="Arial" w:eastAsia="Arial" w:hAnsi="Arial"/>
          <w:b w:val="false"/>
          <w:bCs w:val="false"/>
          <w:i w:val="false"/>
          <w:iCs w:val="false"/>
          <w:color w:val="1A1A1A"/>
          <w:sz w:val="20"/>
          <w:szCs w:val="20"/>
        </w:rPr>
        <w:t xml:space="preserve">FinOps is as much a cultural transformation as a technical one. Key success factors:</w:t>
      </w:r>
    </w:p>
    <w:p>
      <w:pPr>
        <w:pStyle w:val="ListParagraph"/>
        <w:numPr>
          <w:ilvl w:val="0"/>
          <w:numId w:val="2"/>
        </w:numPr>
        <w:spacing w:after="40" w:before="40"/>
      </w:pPr>
      <w:r>
        <w:rPr>
          <w:rFonts w:ascii="Arial" w:cs="Arial" w:eastAsia="Arial" w:hAnsi="Arial"/>
          <w:color w:val="1A1A1A"/>
          <w:sz w:val="20"/>
          <w:szCs w:val="20"/>
        </w:rPr>
        <w:t xml:space="preserve">Executive sponsorship: cost optimization must be a leadership priority, not just engineering</w:t>
      </w:r>
    </w:p>
    <w:p>
      <w:pPr>
        <w:pStyle w:val="ListParagraph"/>
        <w:numPr>
          <w:ilvl w:val="0"/>
          <w:numId w:val="2"/>
        </w:numPr>
        <w:spacing w:after="40" w:before="40"/>
      </w:pPr>
      <w:r>
        <w:rPr>
          <w:rFonts w:ascii="Arial" w:cs="Arial" w:eastAsia="Arial" w:hAnsi="Arial"/>
          <w:color w:val="1A1A1A"/>
          <w:sz w:val="20"/>
          <w:szCs w:val="20"/>
        </w:rPr>
        <w:t xml:space="preserve">Dedicated FinOps function: at least one person (FinOps practitioner) owning the program</w:t>
      </w:r>
    </w:p>
    <w:p>
      <w:pPr>
        <w:pStyle w:val="ListParagraph"/>
        <w:numPr>
          <w:ilvl w:val="0"/>
          <w:numId w:val="2"/>
        </w:numPr>
        <w:spacing w:after="40" w:before="40"/>
      </w:pPr>
      <w:r>
        <w:rPr>
          <w:rFonts w:ascii="Arial" w:cs="Arial" w:eastAsia="Arial" w:hAnsi="Arial"/>
          <w:color w:val="1A1A1A"/>
          <w:sz w:val="20"/>
          <w:szCs w:val="20"/>
        </w:rPr>
        <w:t xml:space="preserve">Team accountability: developers and PMs must own their cost allocations</w:t>
      </w:r>
    </w:p>
    <w:p>
      <w:pPr>
        <w:pStyle w:val="ListParagraph"/>
        <w:numPr>
          <w:ilvl w:val="0"/>
          <w:numId w:val="2"/>
        </w:numPr>
        <w:spacing w:after="40" w:before="40"/>
      </w:pPr>
      <w:r>
        <w:rPr>
          <w:rFonts w:ascii="Arial" w:cs="Arial" w:eastAsia="Arial" w:hAnsi="Arial"/>
          <w:color w:val="1A1A1A"/>
          <w:sz w:val="20"/>
          <w:szCs w:val="20"/>
        </w:rPr>
        <w:t xml:space="preserve">Incentives alignment: tie team performance metrics to cost efficiency, not just feature delivery</w:t>
      </w:r>
    </w:p>
    <w:p>
      <w:pPr>
        <w:pStyle w:val="ListParagraph"/>
        <w:numPr>
          <w:ilvl w:val="0"/>
          <w:numId w:val="2"/>
        </w:numPr>
        <w:spacing w:after="40" w:before="40"/>
      </w:pPr>
      <w:r>
        <w:rPr>
          <w:rFonts w:ascii="Arial" w:cs="Arial" w:eastAsia="Arial" w:hAnsi="Arial"/>
          <w:color w:val="1A1A1A"/>
          <w:sz w:val="20"/>
          <w:szCs w:val="20"/>
        </w:rPr>
        <w:t xml:space="preserve">Regular cadence: monthly cost reviews, weekly anomaly alerts, quarterly maturity assessments</w:t>
      </w:r>
    </w:p>
    <w:p>
      <w:pPr>
        <w:spacing w:after="60" w:before="60"/>
      </w:pPr>
      <w:r>
        <w:t xml:space="preserve"/>
      </w:r>
    </w:p>
    <w:p>
      <w:pPr>
        <w:pBdr>
          <w:left w:val="single" w:color="2E75B6" w:sz="16" w:space="8"/>
        </w:pBdr>
        <w:shd w:fill="DEEAF1" w:val="clear"/>
        <w:spacing w:after="120" w:before="120"/>
        <w:ind w:left="360"/>
      </w:pPr>
      <w:r>
        <w:rPr>
          <w:rFonts w:ascii="Arial" w:cs="Arial" w:eastAsia="Arial" w:hAnsi="Arial"/>
          <w:i/>
          <w:iCs/>
          <w:color w:val="1A1A1A"/>
          <w:sz w:val="20"/>
          <w:szCs w:val="20"/>
        </w:rPr>
        <w:t xml:space="preserve">The most successful FinOps programs treat cost optimization as a feature, not a side project. Teams that own their cost data consistently reduce waste by 25–40% within 12 months.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11.2 KPIs for FinOps in Kubernetes</w:t>
      </w:r>
    </w:p>
    <w:p>
      <w:pPr>
        <w:spacing w:after="100" w:before="60"/>
      </w:pPr>
      <w:r>
        <w:rPr>
          <w:rFonts w:ascii="Arial" w:cs="Arial" w:eastAsia="Arial" w:hAnsi="Arial"/>
          <w:b w:val="false"/>
          <w:bCs w:val="false"/>
          <w:i w:val="false"/>
          <w:iCs w:val="false"/>
          <w:color w:val="1A1A1A"/>
          <w:sz w:val="20"/>
          <w:szCs w:val="20"/>
        </w:rPr>
        <w:t xml:space="preserve">Track these metrics to measure FinOps program effectiveness: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8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3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Tool</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CPU utilization (cluster)</w:t>
            </w:r>
          </w:p>
        </w:tc>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&gt; 60% average</w:t>
            </w:r>
          </w:p>
        </w:tc>
        <w:tc>
          <w:tcPr>
            <w:tcW w:type="dxa" w:w="33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Prometheus / Kubecost</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Memory utilization (cluster)</w:t>
            </w:r>
          </w:p>
        </w:tc>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&gt; 65% average</w:t>
            </w:r>
          </w:p>
        </w:tc>
        <w:tc>
          <w:tcPr>
            <w:tcW w:type="dxa" w:w="33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Prometheus / Kubecost</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Idle node cost ratio</w:t>
            </w:r>
          </w:p>
        </w:tc>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&lt; 10% of total spend</w:t>
            </w:r>
          </w:p>
        </w:tc>
        <w:tc>
          <w:tcPr>
            <w:tcW w:type="dxa" w:w="33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Kubecost Idle Allocation</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 workloads with resource requests</w:t>
            </w:r>
          </w:p>
        </w:tc>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33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 + kube-state-metrics</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 namespaces with cost-center label</w:t>
            </w:r>
          </w:p>
        </w:tc>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33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OPA + Kubecost</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Spot instance adoption rate</w:t>
            </w:r>
          </w:p>
        </w:tc>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&gt; 40% for eligible workloads</w:t>
            </w:r>
          </w:p>
        </w:tc>
        <w:tc>
          <w:tcPr>
            <w:tcW w:type="dxa" w:w="33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Node labels + cloud billing</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VPA recommendation coverage</w:t>
            </w:r>
          </w:p>
        </w:tc>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&gt; 80% of deployments</w:t>
            </w:r>
          </w:p>
        </w:tc>
        <w:tc>
          <w:tcPr>
            <w:tcW w:type="dxa" w:w="33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Goldilocks dashboard</w:t>
            </w:r>
          </w:p>
        </w:tc>
      </w:tr>
      <w:tr>
        <w:tc>
          <w:tcPr>
            <w:tcW w:type="dxa" w:w="32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Budget alert response time</w:t>
            </w:r>
          </w:p>
        </w:tc>
        <w:tc>
          <w:tcPr>
            <w:tcW w:type="dxa" w:w="28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&lt; 24 hours</w:t>
            </w:r>
          </w:p>
        </w:tc>
        <w:tc>
          <w:tcPr>
            <w:tcW w:type="dxa" w:w="33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Kubecost / CloudWatch</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Cost forecast accuracy</w:t>
            </w:r>
          </w:p>
        </w:tc>
        <w:tc>
          <w:tcPr>
            <w:tcW w:type="dxa" w:w="28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+/- 10% vs actual</w:t>
            </w:r>
          </w:p>
        </w:tc>
        <w:tc>
          <w:tcPr>
            <w:tcW w:type="dxa" w:w="33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Kubecost Forecast</w:t>
            </w:r>
          </w:p>
        </w:tc>
      </w:tr>
    </w:tbl>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12. Implementation Roadmap</w:t>
      </w:r>
    </w:p>
    <w:p>
      <w:pPr>
        <w:pStyle w:val="Heading2"/>
        <w:spacing w:after="120" w:before="280"/>
      </w:pPr>
      <w:r>
        <w:rPr>
          <w:rFonts w:ascii="Arial" w:cs="Arial" w:eastAsia="Arial" w:hAnsi="Arial"/>
          <w:b/>
          <w:bCs/>
          <w:color w:val="2E75B6"/>
          <w:sz w:val="28"/>
          <w:szCs w:val="28"/>
        </w:rPr>
        <w:t xml:space="preserve">Phase 1: Foundation (Weeks 1–4)</w:t>
      </w:r>
    </w:p>
    <w:p>
      <w:pPr>
        <w:pStyle w:val="ListParagraph"/>
        <w:numPr>
          <w:ilvl w:val="0"/>
          <w:numId w:val="3"/>
        </w:numPr>
        <w:spacing w:after="40" w:before="40"/>
      </w:pPr>
      <w:r>
        <w:rPr>
          <w:rFonts w:ascii="Arial" w:cs="Arial" w:eastAsia="Arial" w:hAnsi="Arial"/>
          <w:color w:val="1A1A1A"/>
          <w:sz w:val="20"/>
          <w:szCs w:val="20"/>
        </w:rPr>
        <w:t xml:space="preserve">Deploy Kubecost or OpenCost to all clusters</w:t>
      </w:r>
    </w:p>
    <w:p>
      <w:pPr>
        <w:pStyle w:val="ListParagraph"/>
        <w:numPr>
          <w:ilvl w:val="0"/>
          <w:numId w:val="3"/>
        </w:numPr>
        <w:spacing w:after="40" w:before="40"/>
      </w:pPr>
      <w:r>
        <w:rPr>
          <w:rFonts w:ascii="Arial" w:cs="Arial" w:eastAsia="Arial" w:hAnsi="Arial"/>
          <w:color w:val="1A1A1A"/>
          <w:sz w:val="20"/>
          <w:szCs w:val="20"/>
        </w:rPr>
        <w:t xml:space="preserve">Enable Prometheus metrics collection (kube-state-metrics, node-exporter)</w:t>
      </w:r>
    </w:p>
    <w:p>
      <w:pPr>
        <w:pStyle w:val="ListParagraph"/>
        <w:numPr>
          <w:ilvl w:val="0"/>
          <w:numId w:val="3"/>
        </w:numPr>
        <w:spacing w:after="40" w:before="40"/>
      </w:pPr>
      <w:r>
        <w:rPr>
          <w:rFonts w:ascii="Arial" w:cs="Arial" w:eastAsia="Arial" w:hAnsi="Arial"/>
          <w:color w:val="1A1A1A"/>
          <w:sz w:val="20"/>
          <w:szCs w:val="20"/>
        </w:rPr>
        <w:t xml:space="preserve">Define and enforce namespace labeling standards via OPA/Gatekeeper</w:t>
      </w:r>
    </w:p>
    <w:p>
      <w:pPr>
        <w:pStyle w:val="ListParagraph"/>
        <w:numPr>
          <w:ilvl w:val="0"/>
          <w:numId w:val="3"/>
        </w:numPr>
        <w:spacing w:after="40" w:before="40"/>
      </w:pPr>
      <w:r>
        <w:rPr>
          <w:rFonts w:ascii="Arial" w:cs="Arial" w:eastAsia="Arial" w:hAnsi="Arial"/>
          <w:color w:val="1A1A1A"/>
          <w:sz w:val="20"/>
          <w:szCs w:val="20"/>
        </w:rPr>
        <w:t xml:space="preserve">Apply ResourceQuota and LimitRange to all namespaces</w:t>
      </w:r>
    </w:p>
    <w:p>
      <w:pPr>
        <w:pStyle w:val="ListParagraph"/>
        <w:numPr>
          <w:ilvl w:val="0"/>
          <w:numId w:val="3"/>
        </w:numPr>
        <w:spacing w:after="40" w:before="40"/>
      </w:pPr>
      <w:r>
        <w:rPr>
          <w:rFonts w:ascii="Arial" w:cs="Arial" w:eastAsia="Arial" w:hAnsi="Arial"/>
          <w:color w:val="1A1A1A"/>
          <w:sz w:val="20"/>
          <w:szCs w:val="20"/>
        </w:rPr>
        <w:t xml:space="preserve">Generate baseline cost report: top 10 cost drivers by namespace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Phase 2: Visibility &amp; Attribution (Weeks 5–8)</w:t>
      </w:r>
    </w:p>
    <w:p>
      <w:pPr>
        <w:pStyle w:val="ListParagraph"/>
        <w:numPr>
          <w:ilvl w:val="0"/>
          <w:numId w:val="3"/>
        </w:numPr>
        <w:spacing w:after="40" w:before="40"/>
      </w:pPr>
      <w:r>
        <w:rPr>
          <w:rFonts w:ascii="Arial" w:cs="Arial" w:eastAsia="Arial" w:hAnsi="Arial"/>
          <w:color w:val="1A1A1A"/>
          <w:sz w:val="20"/>
          <w:szCs w:val="20"/>
        </w:rPr>
        <w:t xml:space="preserve">Complete tag compliance: 100% of namespaces with required labels</w:t>
      </w:r>
    </w:p>
    <w:p>
      <w:pPr>
        <w:pStyle w:val="ListParagraph"/>
        <w:numPr>
          <w:ilvl w:val="0"/>
          <w:numId w:val="3"/>
        </w:numPr>
        <w:spacing w:after="40" w:before="40"/>
      </w:pPr>
      <w:r>
        <w:rPr>
          <w:rFonts w:ascii="Arial" w:cs="Arial" w:eastAsia="Arial" w:hAnsi="Arial"/>
          <w:color w:val="1A1A1A"/>
          <w:sz w:val="20"/>
          <w:szCs w:val="20"/>
        </w:rPr>
        <w:t xml:space="preserve">Enable showback reports: weekly automated email to team leads</w:t>
      </w:r>
    </w:p>
    <w:p>
      <w:pPr>
        <w:pStyle w:val="ListParagraph"/>
        <w:numPr>
          <w:ilvl w:val="0"/>
          <w:numId w:val="3"/>
        </w:numPr>
        <w:spacing w:after="40" w:before="40"/>
      </w:pPr>
      <w:r>
        <w:rPr>
          <w:rFonts w:ascii="Arial" w:cs="Arial" w:eastAsia="Arial" w:hAnsi="Arial"/>
          <w:color w:val="1A1A1A"/>
          <w:sz w:val="20"/>
          <w:szCs w:val="20"/>
        </w:rPr>
        <w:t xml:space="preserve">Configure budget alerts per namespace (80%, 100% thresholds)</w:t>
      </w:r>
    </w:p>
    <w:p>
      <w:pPr>
        <w:pStyle w:val="ListParagraph"/>
        <w:numPr>
          <w:ilvl w:val="0"/>
          <w:numId w:val="3"/>
        </w:numPr>
        <w:spacing w:after="40" w:before="40"/>
      </w:pPr>
      <w:r>
        <w:rPr>
          <w:rFonts w:ascii="Arial" w:cs="Arial" w:eastAsia="Arial" w:hAnsi="Arial"/>
          <w:color w:val="1A1A1A"/>
          <w:sz w:val="20"/>
          <w:szCs w:val="20"/>
        </w:rPr>
        <w:t xml:space="preserve">Deploy VPA in recommendation mode (Off) across all deployments</w:t>
      </w:r>
    </w:p>
    <w:p>
      <w:pPr>
        <w:pStyle w:val="ListParagraph"/>
        <w:numPr>
          <w:ilvl w:val="0"/>
          <w:numId w:val="3"/>
        </w:numPr>
        <w:spacing w:after="40" w:before="40"/>
      </w:pPr>
      <w:r>
        <w:rPr>
          <w:rFonts w:ascii="Arial" w:cs="Arial" w:eastAsia="Arial" w:hAnsi="Arial"/>
          <w:color w:val="1A1A1A"/>
          <w:sz w:val="20"/>
          <w:szCs w:val="20"/>
        </w:rPr>
        <w:t xml:space="preserve">Install Goldilocks for developer-facing right-sizing dashboard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Phase 3: Optimization (Weeks 9–16)</w:t>
      </w:r>
    </w:p>
    <w:p>
      <w:pPr>
        <w:pStyle w:val="ListParagraph"/>
        <w:numPr>
          <w:ilvl w:val="0"/>
          <w:numId w:val="3"/>
        </w:numPr>
        <w:spacing w:after="40" w:before="40"/>
      </w:pPr>
      <w:r>
        <w:rPr>
          <w:rFonts w:ascii="Arial" w:cs="Arial" w:eastAsia="Arial" w:hAnsi="Arial"/>
          <w:color w:val="1A1A1A"/>
          <w:sz w:val="20"/>
          <w:szCs w:val="20"/>
        </w:rPr>
        <w:t xml:space="preserve">Implement VPA recommendations for top 20 over-provisioned workloads</w:t>
      </w:r>
    </w:p>
    <w:p>
      <w:pPr>
        <w:pStyle w:val="ListParagraph"/>
        <w:numPr>
          <w:ilvl w:val="0"/>
          <w:numId w:val="3"/>
        </w:numPr>
        <w:spacing w:after="40" w:before="40"/>
      </w:pPr>
      <w:r>
        <w:rPr>
          <w:rFonts w:ascii="Arial" w:cs="Arial" w:eastAsia="Arial" w:hAnsi="Arial"/>
          <w:color w:val="1A1A1A"/>
          <w:sz w:val="20"/>
          <w:szCs w:val="20"/>
        </w:rPr>
        <w:t xml:space="preserve">Enable Cluster Autoscaler or Karpenter with spot node pools</w:t>
      </w:r>
    </w:p>
    <w:p>
      <w:pPr>
        <w:pStyle w:val="ListParagraph"/>
        <w:numPr>
          <w:ilvl w:val="0"/>
          <w:numId w:val="3"/>
        </w:numPr>
        <w:spacing w:after="40" w:before="40"/>
      </w:pPr>
      <w:r>
        <w:rPr>
          <w:rFonts w:ascii="Arial" w:cs="Arial" w:eastAsia="Arial" w:hAnsi="Arial"/>
          <w:color w:val="1A1A1A"/>
          <w:sz w:val="20"/>
          <w:szCs w:val="20"/>
        </w:rPr>
        <w:t xml:space="preserve">Configure HPA for all horizontally scalable workloads</w:t>
      </w:r>
    </w:p>
    <w:p>
      <w:pPr>
        <w:pStyle w:val="ListParagraph"/>
        <w:numPr>
          <w:ilvl w:val="0"/>
          <w:numId w:val="3"/>
        </w:numPr>
        <w:spacing w:after="40" w:before="40"/>
      </w:pPr>
      <w:r>
        <w:rPr>
          <w:rFonts w:ascii="Arial" w:cs="Arial" w:eastAsia="Arial" w:hAnsi="Arial"/>
          <w:color w:val="1A1A1A"/>
          <w:sz w:val="20"/>
          <w:szCs w:val="20"/>
        </w:rPr>
        <w:t xml:space="preserve">Deploy KEDA for batch and async workload scale-to-zero</w:t>
      </w:r>
    </w:p>
    <w:p>
      <w:pPr>
        <w:pStyle w:val="ListParagraph"/>
        <w:numPr>
          <w:ilvl w:val="0"/>
          <w:numId w:val="3"/>
        </w:numPr>
        <w:spacing w:after="40" w:before="40"/>
      </w:pPr>
      <w:r>
        <w:rPr>
          <w:rFonts w:ascii="Arial" w:cs="Arial" w:eastAsia="Arial" w:hAnsi="Arial"/>
          <w:color w:val="1A1A1A"/>
          <w:sz w:val="20"/>
          <w:szCs w:val="20"/>
        </w:rPr>
        <w:t xml:space="preserve">Audit and clean orphaned PVCs, unused namespaces, idle load balancers</w:t>
      </w:r>
    </w:p>
    <w:p>
      <w:pPr>
        <w:pStyle w:val="ListParagraph"/>
        <w:numPr>
          <w:ilvl w:val="0"/>
          <w:numId w:val="3"/>
        </w:numPr>
        <w:spacing w:after="40" w:before="40"/>
      </w:pPr>
      <w:r>
        <w:rPr>
          <w:rFonts w:ascii="Arial" w:cs="Arial" w:eastAsia="Arial" w:hAnsi="Arial"/>
          <w:color w:val="1A1A1A"/>
          <w:sz w:val="20"/>
          <w:szCs w:val="20"/>
        </w:rPr>
        <w:t xml:space="preserve">Purchase initial Reserved Instances / Savings Plans for baseline capacity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Phase 4: Automation &amp; Governance (Weeks 17–24)</w:t>
      </w:r>
    </w:p>
    <w:p>
      <w:pPr>
        <w:pStyle w:val="ListParagraph"/>
        <w:numPr>
          <w:ilvl w:val="0"/>
          <w:numId w:val="3"/>
        </w:numPr>
        <w:spacing w:after="40" w:before="40"/>
      </w:pPr>
      <w:r>
        <w:rPr>
          <w:rFonts w:ascii="Arial" w:cs="Arial" w:eastAsia="Arial" w:hAnsi="Arial"/>
          <w:color w:val="1A1A1A"/>
          <w:sz w:val="20"/>
          <w:szCs w:val="20"/>
        </w:rPr>
        <w:t xml:space="preserve">Integrate Infracost into CI/CD pipeline (cost diff on PRs)</w:t>
      </w:r>
    </w:p>
    <w:p>
      <w:pPr>
        <w:pStyle w:val="ListParagraph"/>
        <w:numPr>
          <w:ilvl w:val="0"/>
          <w:numId w:val="3"/>
        </w:numPr>
        <w:spacing w:after="40" w:before="40"/>
      </w:pPr>
      <w:r>
        <w:rPr>
          <w:rFonts w:ascii="Arial" w:cs="Arial" w:eastAsia="Arial" w:hAnsi="Arial"/>
          <w:color w:val="1A1A1A"/>
          <w:sz w:val="20"/>
          <w:szCs w:val="20"/>
        </w:rPr>
        <w:t xml:space="preserve">Implement chargeback process with finance team</w:t>
      </w:r>
    </w:p>
    <w:p>
      <w:pPr>
        <w:pStyle w:val="ListParagraph"/>
        <w:numPr>
          <w:ilvl w:val="0"/>
          <w:numId w:val="3"/>
        </w:numPr>
        <w:spacing w:after="40" w:before="40"/>
      </w:pPr>
      <w:r>
        <w:rPr>
          <w:rFonts w:ascii="Arial" w:cs="Arial" w:eastAsia="Arial" w:hAnsi="Arial"/>
          <w:color w:val="1A1A1A"/>
          <w:sz w:val="20"/>
          <w:szCs w:val="20"/>
        </w:rPr>
        <w:t xml:space="preserve">Automate weekly cost optimization report with auto-generated JIRA tickets</w:t>
      </w:r>
    </w:p>
    <w:p>
      <w:pPr>
        <w:pStyle w:val="ListParagraph"/>
        <w:numPr>
          <w:ilvl w:val="0"/>
          <w:numId w:val="3"/>
        </w:numPr>
        <w:spacing w:after="40" w:before="40"/>
      </w:pPr>
      <w:r>
        <w:rPr>
          <w:rFonts w:ascii="Arial" w:cs="Arial" w:eastAsia="Arial" w:hAnsi="Arial"/>
          <w:color w:val="1A1A1A"/>
          <w:sz w:val="20"/>
          <w:szCs w:val="20"/>
        </w:rPr>
        <w:t xml:space="preserve">Set up anomaly detection alerts</w:t>
      </w:r>
    </w:p>
    <w:p>
      <w:pPr>
        <w:pStyle w:val="ListParagraph"/>
        <w:numPr>
          <w:ilvl w:val="0"/>
          <w:numId w:val="3"/>
        </w:numPr>
        <w:spacing w:after="40" w:before="40"/>
      </w:pPr>
      <w:r>
        <w:rPr>
          <w:rFonts w:ascii="Arial" w:cs="Arial" w:eastAsia="Arial" w:hAnsi="Arial"/>
          <w:color w:val="1A1A1A"/>
          <w:sz w:val="20"/>
          <w:szCs w:val="20"/>
        </w:rPr>
        <w:t xml:space="preserve">Conduct first FinOps quarterly review with leadership</w:t>
      </w:r>
    </w:p>
    <w:p>
      <w:pPr>
        <w:pStyle w:val="ListParagraph"/>
        <w:numPr>
          <w:ilvl w:val="0"/>
          <w:numId w:val="3"/>
        </w:numPr>
        <w:spacing w:after="40" w:before="40"/>
      </w:pPr>
      <w:r>
        <w:rPr>
          <w:rFonts w:ascii="Arial" w:cs="Arial" w:eastAsia="Arial" w:hAnsi="Arial"/>
          <w:color w:val="1A1A1A"/>
          <w:sz w:val="20"/>
          <w:szCs w:val="20"/>
        </w:rPr>
        <w:t xml:space="preserve">Define roadmap to FinOps maturity Level 3 (Run)</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13. Reference Architecture</w:t>
      </w:r>
    </w:p>
    <w:p>
      <w:pPr>
        <w:pStyle w:val="Heading2"/>
        <w:spacing w:after="120" w:before="280"/>
      </w:pPr>
      <w:r>
        <w:rPr>
          <w:rFonts w:ascii="Arial" w:cs="Arial" w:eastAsia="Arial" w:hAnsi="Arial"/>
          <w:b/>
          <w:bCs/>
          <w:color w:val="2E75B6"/>
          <w:sz w:val="28"/>
          <w:szCs w:val="28"/>
        </w:rPr>
        <w:t xml:space="preserve">13.1 Cloud FinOps Architecture (AWS EKS Example)</w:t>
      </w:r>
    </w:p>
    <w:p>
      <w:pPr>
        <w:spacing w:after="100" w:before="60"/>
      </w:pPr>
      <w:r>
        <w:rPr>
          <w:rFonts w:ascii="Arial" w:cs="Arial" w:eastAsia="Arial" w:hAnsi="Arial"/>
          <w:b w:val="false"/>
          <w:bCs w:val="false"/>
          <w:i w:val="false"/>
          <w:iCs w:val="false"/>
          <w:color w:val="1A1A1A"/>
          <w:sz w:val="20"/>
          <w:szCs w:val="20"/>
        </w:rPr>
        <w:t xml:space="preserve">The following architecture represents a production-grade FinOps implementation on AWS EKS:</w:t>
      </w:r>
    </w:p>
    <w:p>
      <w:pPr>
        <w:spacing w:after="60" w:before="60"/>
      </w:pPr>
      <w:r>
        <w:t xml:space="preserve"/>
      </w:r>
    </w:p>
    <w:p>
      <w:pPr>
        <w:pStyle w:val="ListParagraph"/>
        <w:numPr>
          <w:ilvl w:val="0"/>
          <w:numId w:val="2"/>
        </w:numPr>
        <w:spacing w:after="40" w:before="40"/>
      </w:pPr>
      <w:r>
        <w:rPr>
          <w:rFonts w:ascii="Arial" w:cs="Arial" w:eastAsia="Arial" w:hAnsi="Arial"/>
          <w:color w:val="1A1A1A"/>
          <w:sz w:val="20"/>
          <w:szCs w:val="20"/>
        </w:rPr>
        <w:t xml:space="preserve">EKS Cluster with mixed node groups: On-Demand (reserved) + Spot + Graviton</w:t>
      </w:r>
    </w:p>
    <w:p>
      <w:pPr>
        <w:pStyle w:val="ListParagraph"/>
        <w:numPr>
          <w:ilvl w:val="0"/>
          <w:numId w:val="2"/>
        </w:numPr>
        <w:spacing w:after="40" w:before="40"/>
      </w:pPr>
      <w:r>
        <w:rPr>
          <w:rFonts w:ascii="Arial" w:cs="Arial" w:eastAsia="Arial" w:hAnsi="Arial"/>
          <w:color w:val="1A1A1A"/>
          <w:sz w:val="20"/>
          <w:szCs w:val="20"/>
        </w:rPr>
        <w:t xml:space="preserve">Karpenter: intelligent just-in-time node provisioning with spot integration</w:t>
      </w:r>
    </w:p>
    <w:p>
      <w:pPr>
        <w:pStyle w:val="ListParagraph"/>
        <w:numPr>
          <w:ilvl w:val="0"/>
          <w:numId w:val="2"/>
        </w:numPr>
        <w:spacing w:after="40" w:before="40"/>
      </w:pPr>
      <w:r>
        <w:rPr>
          <w:rFonts w:ascii="Arial" w:cs="Arial" w:eastAsia="Arial" w:hAnsi="Arial"/>
          <w:color w:val="1A1A1A"/>
          <w:sz w:val="20"/>
          <w:szCs w:val="20"/>
        </w:rPr>
        <w:t xml:space="preserve">Kubecost: per-pod cost allocation with Prometheus integration</w:t>
      </w:r>
    </w:p>
    <w:p>
      <w:pPr>
        <w:pStyle w:val="ListParagraph"/>
        <w:numPr>
          <w:ilvl w:val="0"/>
          <w:numId w:val="2"/>
        </w:numPr>
        <w:spacing w:after="40" w:before="40"/>
      </w:pPr>
      <w:r>
        <w:rPr>
          <w:rFonts w:ascii="Arial" w:cs="Arial" w:eastAsia="Arial" w:hAnsi="Arial"/>
          <w:color w:val="1A1A1A"/>
          <w:sz w:val="20"/>
          <w:szCs w:val="20"/>
        </w:rPr>
        <w:t xml:space="preserve">VPA + Goldilocks: continuous right-sizing recommendation pipeline</w:t>
      </w:r>
    </w:p>
    <w:p>
      <w:pPr>
        <w:pStyle w:val="ListParagraph"/>
        <w:numPr>
          <w:ilvl w:val="0"/>
          <w:numId w:val="2"/>
        </w:numPr>
        <w:spacing w:after="40" w:before="40"/>
      </w:pPr>
      <w:r>
        <w:rPr>
          <w:rFonts w:ascii="Arial" w:cs="Arial" w:eastAsia="Arial" w:hAnsi="Arial"/>
          <w:color w:val="1A1A1A"/>
          <w:sz w:val="20"/>
          <w:szCs w:val="20"/>
        </w:rPr>
        <w:t xml:space="preserve">KEDA: scale-to-zero for all async/batch workloads</w:t>
      </w:r>
    </w:p>
    <w:p>
      <w:pPr>
        <w:pStyle w:val="ListParagraph"/>
        <w:numPr>
          <w:ilvl w:val="0"/>
          <w:numId w:val="2"/>
        </w:numPr>
        <w:spacing w:after="40" w:before="40"/>
      </w:pPr>
      <w:r>
        <w:rPr>
          <w:rFonts w:ascii="Arial" w:cs="Arial" w:eastAsia="Arial" w:hAnsi="Arial"/>
          <w:color w:val="1A1A1A"/>
          <w:sz w:val="20"/>
          <w:szCs w:val="20"/>
        </w:rPr>
        <w:t xml:space="preserve">OPA Gatekeeper: admission control for resource limits and labels</w:t>
      </w:r>
    </w:p>
    <w:p>
      <w:pPr>
        <w:pStyle w:val="ListParagraph"/>
        <w:numPr>
          <w:ilvl w:val="0"/>
          <w:numId w:val="2"/>
        </w:numPr>
        <w:spacing w:after="40" w:before="40"/>
      </w:pPr>
      <w:r>
        <w:rPr>
          <w:rFonts w:ascii="Arial" w:cs="Arial" w:eastAsia="Arial" w:hAnsi="Arial"/>
          <w:color w:val="1A1A1A"/>
          <w:sz w:val="20"/>
          <w:szCs w:val="20"/>
        </w:rPr>
        <w:t xml:space="preserve">AWS Cost Explorer + Budgets: native billing visibility and alerting</w:t>
      </w:r>
    </w:p>
    <w:p>
      <w:pPr>
        <w:pStyle w:val="ListParagraph"/>
        <w:numPr>
          <w:ilvl w:val="0"/>
          <w:numId w:val="2"/>
        </w:numPr>
        <w:spacing w:after="40" w:before="40"/>
      </w:pPr>
      <w:r>
        <w:rPr>
          <w:rFonts w:ascii="Arial" w:cs="Arial" w:eastAsia="Arial" w:hAnsi="Arial"/>
          <w:color w:val="1A1A1A"/>
          <w:sz w:val="20"/>
          <w:szCs w:val="20"/>
        </w:rPr>
        <w:t xml:space="preserve">Infracost in GitHub Actions: PR-level cost impact analysis</w:t>
      </w:r>
    </w:p>
    <w:p>
      <w:pPr>
        <w:pStyle w:val="ListParagraph"/>
        <w:numPr>
          <w:ilvl w:val="0"/>
          <w:numId w:val="2"/>
        </w:numPr>
        <w:spacing w:after="40" w:before="40"/>
      </w:pPr>
      <w:r>
        <w:rPr>
          <w:rFonts w:ascii="Arial" w:cs="Arial" w:eastAsia="Arial" w:hAnsi="Arial"/>
          <w:color w:val="1A1A1A"/>
          <w:sz w:val="20"/>
          <w:szCs w:val="20"/>
        </w:rPr>
        <w:t xml:space="preserve">Grafana dashboards: unified cost, performance, and efficiency views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13.2 On-Premises FinOps Architecture</w:t>
      </w:r>
    </w:p>
    <w:p>
      <w:pPr>
        <w:spacing w:after="100" w:before="60"/>
      </w:pPr>
      <w:r>
        <w:rPr>
          <w:rFonts w:ascii="Arial" w:cs="Arial" w:eastAsia="Arial" w:hAnsi="Arial"/>
          <w:b w:val="false"/>
          <w:bCs w:val="false"/>
          <w:i w:val="false"/>
          <w:iCs w:val="false"/>
          <w:color w:val="1A1A1A"/>
          <w:sz w:val="20"/>
          <w:szCs w:val="20"/>
        </w:rPr>
        <w:t xml:space="preserve">The following architecture represents a production-grade FinOps implementation on bare-metal Kubernetes:</w:t>
      </w:r>
    </w:p>
    <w:p>
      <w:pPr>
        <w:spacing w:after="60" w:before="60"/>
      </w:pPr>
      <w:r>
        <w:t xml:space="preserve"/>
      </w:r>
    </w:p>
    <w:p>
      <w:pPr>
        <w:pStyle w:val="ListParagraph"/>
        <w:numPr>
          <w:ilvl w:val="0"/>
          <w:numId w:val="2"/>
        </w:numPr>
        <w:spacing w:after="40" w:before="40"/>
      </w:pPr>
      <w:r>
        <w:rPr>
          <w:rFonts w:ascii="Arial" w:cs="Arial" w:eastAsia="Arial" w:hAnsi="Arial"/>
          <w:color w:val="1A1A1A"/>
          <w:sz w:val="20"/>
          <w:szCs w:val="20"/>
        </w:rPr>
        <w:t xml:space="preserve">Kubernetes cluster on physical servers (kubeadm or Rancher or OpenShift)</w:t>
      </w:r>
    </w:p>
    <w:p>
      <w:pPr>
        <w:pStyle w:val="ListParagraph"/>
        <w:numPr>
          <w:ilvl w:val="0"/>
          <w:numId w:val="2"/>
        </w:numPr>
        <w:spacing w:after="40" w:before="40"/>
      </w:pPr>
      <w:r>
        <w:rPr>
          <w:rFonts w:ascii="Arial" w:cs="Arial" w:eastAsia="Arial" w:hAnsi="Arial"/>
          <w:color w:val="1A1A1A"/>
          <w:sz w:val="20"/>
          <w:szCs w:val="20"/>
        </w:rPr>
        <w:t xml:space="preserve">Cluster Autoscaler with Cluster API: automated node provisioning on hypervisor</w:t>
      </w:r>
    </w:p>
    <w:p>
      <w:pPr>
        <w:pStyle w:val="ListParagraph"/>
        <w:numPr>
          <w:ilvl w:val="0"/>
          <w:numId w:val="2"/>
        </w:numPr>
        <w:spacing w:after="40" w:before="40"/>
      </w:pPr>
      <w:r>
        <w:rPr>
          <w:rFonts w:ascii="Arial" w:cs="Arial" w:eastAsia="Arial" w:hAnsi="Arial"/>
          <w:color w:val="1A1A1A"/>
          <w:sz w:val="20"/>
          <w:szCs w:val="20"/>
        </w:rPr>
        <w:t xml:space="preserve">OpenCost with custom pricing model: server depreciation + power + networking</w:t>
      </w:r>
    </w:p>
    <w:p>
      <w:pPr>
        <w:pStyle w:val="ListParagraph"/>
        <w:numPr>
          <w:ilvl w:val="0"/>
          <w:numId w:val="2"/>
        </w:numPr>
        <w:spacing w:after="40" w:before="40"/>
      </w:pPr>
      <w:r>
        <w:rPr>
          <w:rFonts w:ascii="Arial" w:cs="Arial" w:eastAsia="Arial" w:hAnsi="Arial"/>
          <w:color w:val="1A1A1A"/>
          <w:sz w:val="20"/>
          <w:szCs w:val="20"/>
        </w:rPr>
        <w:t xml:space="preserve">Prometheus + Grafana: metrics foundation with FinOps-specific dashboards</w:t>
      </w:r>
    </w:p>
    <w:p>
      <w:pPr>
        <w:pStyle w:val="ListParagraph"/>
        <w:numPr>
          <w:ilvl w:val="0"/>
          <w:numId w:val="2"/>
        </w:numPr>
        <w:spacing w:after="40" w:before="40"/>
      </w:pPr>
      <w:r>
        <w:rPr>
          <w:rFonts w:ascii="Arial" w:cs="Arial" w:eastAsia="Arial" w:hAnsi="Arial"/>
          <w:color w:val="1A1A1A"/>
          <w:sz w:val="20"/>
          <w:szCs w:val="20"/>
        </w:rPr>
        <w:t xml:space="preserve">Ceph storage with tiered storage classes (SSD/HDD/object)</w:t>
      </w:r>
    </w:p>
    <w:p>
      <w:pPr>
        <w:pStyle w:val="ListParagraph"/>
        <w:numPr>
          <w:ilvl w:val="0"/>
          <w:numId w:val="2"/>
        </w:numPr>
        <w:spacing w:after="40" w:before="40"/>
      </w:pPr>
      <w:r>
        <w:rPr>
          <w:rFonts w:ascii="Arial" w:cs="Arial" w:eastAsia="Arial" w:hAnsi="Arial"/>
          <w:color w:val="1A1A1A"/>
          <w:sz w:val="20"/>
          <w:szCs w:val="20"/>
        </w:rPr>
        <w:t xml:space="preserve">OPA/Gatekeeper: enforce resource requests, limits, labels, storage class policies</w:t>
      </w:r>
    </w:p>
    <w:p>
      <w:pPr>
        <w:pStyle w:val="ListParagraph"/>
        <w:numPr>
          <w:ilvl w:val="0"/>
          <w:numId w:val="2"/>
        </w:numPr>
        <w:spacing w:after="40" w:before="40"/>
      </w:pPr>
      <w:r>
        <w:rPr>
          <w:rFonts w:ascii="Arial" w:cs="Arial" w:eastAsia="Arial" w:hAnsi="Arial"/>
          <w:color w:val="1A1A1A"/>
          <w:sz w:val="20"/>
          <w:szCs w:val="20"/>
        </w:rPr>
        <w:t xml:space="preserve">MetalLB for LoadBalancer services: reduce hardware LB requirements</w:t>
      </w:r>
    </w:p>
    <w:p>
      <w:pPr>
        <w:pStyle w:val="ListParagraph"/>
        <w:numPr>
          <w:ilvl w:val="0"/>
          <w:numId w:val="2"/>
        </w:numPr>
        <w:spacing w:after="40" w:before="40"/>
      </w:pPr>
      <w:r>
        <w:rPr>
          <w:rFonts w:ascii="Arial" w:cs="Arial" w:eastAsia="Arial" w:hAnsi="Arial"/>
          <w:color w:val="1A1A1A"/>
          <w:sz w:val="20"/>
          <w:szCs w:val="20"/>
        </w:rPr>
        <w:t xml:space="preserve">IPAM integration: track network resource allocation and costs</w:t>
      </w:r>
    </w:p>
    <w:p>
      <w:pPr>
        <w:pStyle w:val="ListParagraph"/>
        <w:numPr>
          <w:ilvl w:val="0"/>
          <w:numId w:val="2"/>
        </w:numPr>
        <w:spacing w:after="40" w:before="40"/>
      </w:pPr>
      <w:r>
        <w:rPr>
          <w:rFonts w:ascii="Arial" w:cs="Arial" w:eastAsia="Arial" w:hAnsi="Arial"/>
          <w:color w:val="1A1A1A"/>
          <w:sz w:val="20"/>
          <w:szCs w:val="20"/>
        </w:rPr>
        <w:t xml:space="preserve">Power monitoring (IPMI/Redfish): track per-server and cluster-level energy costs</w:t>
      </w:r>
    </w:p>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14.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D9D9D9" w:sz="4"/>
              <w:left w:val="single" w:color="D9D9D9" w:sz="4"/>
              <w:bottom w:val="single" w:color="D9D9D9" w:sz="4"/>
              <w:right w:val="single" w:color="D9D9D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Bin-packing</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Scheduling pods to maximize node utilization by filling available compute capacity efficiently</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CapEx</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Capital Expenditure: upfront purchase of hardware or infrastructure assets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Chargeback</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Formal financial allocation of infrastructure costs to consuming teams or business units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CUD</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Committed Use Discounts: GCP's reserved pricing for VM compute workloads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DaemonSet</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K8s workload that runs a pod on every (or selected) node; cost impacts all nodes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FinOps</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Financial Operations: practice of maximizing business value from cloud/infrastructure spend</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HPA</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Horizontal Pod Autoscaler: scales pod replica count based on metrics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KEDA</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Kubernetes Event-Driven Autoscaling: extends HPA with event-based and scale-to-zero scaling</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Karpenter</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Open-source node provisioner for cloud K8s; optimizes for cost and performance</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LimitRange</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K8s object that sets default and maximum resource limits per namespace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OOMKill</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Out-Of-Memory Kill: container termination when memory exceeds configured limits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OPA</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Open Policy Agent: policy engine for Kubernetes admission control</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OpEx</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Operating Expenditure: ongoing operational costs (power, staff, SaaS)</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OpenCost</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CNCF open standard and project for Kubernetes cost monitoring</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PUE</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Power Usage Effectiveness: ratio of total data center power to IT equipment power</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PVC</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Persistent Volume Claim: K8s storage request that binds to a Persistent Volume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ResourceQuota</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K8s object that caps total resource consumption within a namespace</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Showback</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Providing cost visibility to teams without formal financial chargeback</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Spot Instance</w:t>
            </w:r>
          </w:p>
        </w:tc>
        <w:tc>
          <w:tcPr>
            <w:tcW w:type="dxa" w:w="6960"/>
            <w:tcBorders>
              <w:top w:val="single" w:color="D9D9D9" w:sz="4"/>
              <w:left w:val="single" w:color="D9D9D9" w:sz="4"/>
              <w:bottom w:val="single" w:color="D9D9D9" w:sz="4"/>
              <w:right w:val="single" w:color="D9D9D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Discounted cloud instance that can be reclaimed with short notice (60–90% cheaper)</w:t>
            </w:r>
          </w:p>
        </w:tc>
      </w:tr>
      <w:tr>
        <w:tc>
          <w:tcPr>
            <w:tcW w:type="dxa" w:w="240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VPA</w:t>
            </w:r>
          </w:p>
        </w:tc>
        <w:tc>
          <w:tcPr>
            <w:tcW w:type="dxa" w:w="6960"/>
            <w:tcBorders>
              <w:top w:val="single" w:color="D9D9D9" w:sz="4"/>
              <w:left w:val="single" w:color="D9D9D9" w:sz="4"/>
              <w:bottom w:val="single" w:color="D9D9D9" w:sz="4"/>
              <w:right w:val="single" w:color="D9D9D9"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Vertical Pod Autoscaler: adjusts container CPU/memory requests based on usage history</w:t>
            </w:r>
          </w:p>
        </w:tc>
      </w:tr>
    </w:tbl>
    <w:p>
      <w:pPr>
        <w:spacing w:after="60" w:before="6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15. References &amp; Further Reading</w:t>
      </w:r>
    </w:p>
    <w:p>
      <w:pPr>
        <w:spacing w:after="60" w:before="60"/>
      </w:pPr>
      <w:r>
        <w:t xml:space="preserve"/>
      </w:r>
    </w:p>
    <w:p>
      <w:pPr>
        <w:pStyle w:val="ListParagraph"/>
        <w:numPr>
          <w:ilvl w:val="0"/>
          <w:numId w:val="2"/>
        </w:numPr>
        <w:spacing w:after="40" w:before="40"/>
      </w:pPr>
      <w:r>
        <w:rPr>
          <w:rFonts w:ascii="Arial" w:cs="Arial" w:eastAsia="Arial" w:hAnsi="Arial"/>
          <w:color w:val="1A1A1A"/>
          <w:sz w:val="20"/>
          <w:szCs w:val="20"/>
        </w:rPr>
        <w:t xml:space="preserve">FinOps Foundation – finops.org: FinOps Framework, maturity model, and practitioner resources</w:t>
      </w:r>
    </w:p>
    <w:p>
      <w:pPr>
        <w:pStyle w:val="ListParagraph"/>
        <w:numPr>
          <w:ilvl w:val="0"/>
          <w:numId w:val="2"/>
        </w:numPr>
        <w:spacing w:after="40" w:before="40"/>
      </w:pPr>
      <w:r>
        <w:rPr>
          <w:rFonts w:ascii="Arial" w:cs="Arial" w:eastAsia="Arial" w:hAnsi="Arial"/>
          <w:color w:val="1A1A1A"/>
          <w:sz w:val="20"/>
          <w:szCs w:val="20"/>
        </w:rPr>
        <w:t xml:space="preserve">Kubecost Documentation – kubecost.com/documentation: cost monitoring, allocation, and savings</w:t>
      </w:r>
    </w:p>
    <w:p>
      <w:pPr>
        <w:pStyle w:val="ListParagraph"/>
        <w:numPr>
          <w:ilvl w:val="0"/>
          <w:numId w:val="2"/>
        </w:numPr>
        <w:spacing w:after="40" w:before="40"/>
      </w:pPr>
      <w:r>
        <w:rPr>
          <w:rFonts w:ascii="Arial" w:cs="Arial" w:eastAsia="Arial" w:hAnsi="Arial"/>
          <w:color w:val="1A1A1A"/>
          <w:sz w:val="20"/>
          <w:szCs w:val="20"/>
        </w:rPr>
        <w:t xml:space="preserve">OpenCost Specification – opencost.io: CNCF open standard for Kubernetes cost</w:t>
      </w:r>
    </w:p>
    <w:p>
      <w:pPr>
        <w:pStyle w:val="ListParagraph"/>
        <w:numPr>
          <w:ilvl w:val="0"/>
          <w:numId w:val="2"/>
        </w:numPr>
        <w:spacing w:after="40" w:before="40"/>
      </w:pPr>
      <w:r>
        <w:rPr>
          <w:rFonts w:ascii="Arial" w:cs="Arial" w:eastAsia="Arial" w:hAnsi="Arial"/>
          <w:color w:val="1A1A1A"/>
          <w:sz w:val="20"/>
          <w:szCs w:val="20"/>
        </w:rPr>
        <w:t xml:space="preserve">Karpenter Documentation – karpenter.sh: just-in-time node provisioning for AWS/GCP</w:t>
      </w:r>
    </w:p>
    <w:p>
      <w:pPr>
        <w:pStyle w:val="ListParagraph"/>
        <w:numPr>
          <w:ilvl w:val="0"/>
          <w:numId w:val="2"/>
        </w:numPr>
        <w:spacing w:after="40" w:before="40"/>
      </w:pPr>
      <w:r>
        <w:rPr>
          <w:rFonts w:ascii="Arial" w:cs="Arial" w:eastAsia="Arial" w:hAnsi="Arial"/>
          <w:color w:val="1A1A1A"/>
          <w:sz w:val="20"/>
          <w:szCs w:val="20"/>
        </w:rPr>
        <w:t xml:space="preserve">KEDA Documentation – keda.sh: event-driven autoscaling patterns and scalers</w:t>
      </w:r>
    </w:p>
    <w:p>
      <w:pPr>
        <w:pStyle w:val="ListParagraph"/>
        <w:numPr>
          <w:ilvl w:val="0"/>
          <w:numId w:val="2"/>
        </w:numPr>
        <w:spacing w:after="40" w:before="40"/>
      </w:pPr>
      <w:r>
        <w:rPr>
          <w:rFonts w:ascii="Arial" w:cs="Arial" w:eastAsia="Arial" w:hAnsi="Arial"/>
          <w:color w:val="1A1A1A"/>
          <w:sz w:val="20"/>
          <w:szCs w:val="20"/>
        </w:rPr>
        <w:t xml:space="preserve">Goldilocks – fairwinds.com/goldilocks: VPA-based right-sizing dashboard</w:t>
      </w:r>
    </w:p>
    <w:p>
      <w:pPr>
        <w:pStyle w:val="ListParagraph"/>
        <w:numPr>
          <w:ilvl w:val="0"/>
          <w:numId w:val="2"/>
        </w:numPr>
        <w:spacing w:after="40" w:before="40"/>
      </w:pPr>
      <w:r>
        <w:rPr>
          <w:rFonts w:ascii="Arial" w:cs="Arial" w:eastAsia="Arial" w:hAnsi="Arial"/>
          <w:color w:val="1A1A1A"/>
          <w:sz w:val="20"/>
          <w:szCs w:val="20"/>
        </w:rPr>
        <w:t xml:space="preserve">OPA/Gatekeeper – openpolicyagent.org: policy-as-code for Kubernetes</w:t>
      </w:r>
    </w:p>
    <w:p>
      <w:pPr>
        <w:pStyle w:val="ListParagraph"/>
        <w:numPr>
          <w:ilvl w:val="0"/>
          <w:numId w:val="2"/>
        </w:numPr>
        <w:spacing w:after="40" w:before="40"/>
      </w:pPr>
      <w:r>
        <w:rPr>
          <w:rFonts w:ascii="Arial" w:cs="Arial" w:eastAsia="Arial" w:hAnsi="Arial"/>
          <w:color w:val="1A1A1A"/>
          <w:sz w:val="20"/>
          <w:szCs w:val="20"/>
        </w:rPr>
        <w:t xml:space="preserve">AWS EKS Best Practices Guide – aws.github.io/aws-eks-best-practices: cost optimization chapter</w:t>
      </w:r>
    </w:p>
    <w:p>
      <w:pPr>
        <w:pStyle w:val="ListParagraph"/>
        <w:numPr>
          <w:ilvl w:val="0"/>
          <w:numId w:val="2"/>
        </w:numPr>
        <w:spacing w:after="40" w:before="40"/>
      </w:pPr>
      <w:r>
        <w:rPr>
          <w:rFonts w:ascii="Arial" w:cs="Arial" w:eastAsia="Arial" w:hAnsi="Arial"/>
          <w:color w:val="1A1A1A"/>
          <w:sz w:val="20"/>
          <w:szCs w:val="20"/>
        </w:rPr>
        <w:t xml:space="preserve">GCP GKE Cost Optimization – cloud.google.com: GKE cost optimization documentation</w:t>
      </w:r>
    </w:p>
    <w:p>
      <w:pPr>
        <w:pStyle w:val="ListParagraph"/>
        <w:numPr>
          <w:ilvl w:val="0"/>
          <w:numId w:val="2"/>
        </w:numPr>
        <w:spacing w:after="40" w:before="40"/>
      </w:pPr>
      <w:r>
        <w:rPr>
          <w:rFonts w:ascii="Arial" w:cs="Arial" w:eastAsia="Arial" w:hAnsi="Arial"/>
          <w:color w:val="1A1A1A"/>
          <w:sz w:val="20"/>
          <w:szCs w:val="20"/>
        </w:rPr>
        <w:t xml:space="preserve">Azure AKS Cost Management – learn.microsoft.com: AKS cost optimization guide</w:t>
      </w:r>
    </w:p>
    <w:p>
      <w:pPr>
        <w:pStyle w:val="ListParagraph"/>
        <w:numPr>
          <w:ilvl w:val="0"/>
          <w:numId w:val="2"/>
        </w:numPr>
        <w:spacing w:after="40" w:before="40"/>
      </w:pPr>
      <w:r>
        <w:rPr>
          <w:rFonts w:ascii="Arial" w:cs="Arial" w:eastAsia="Arial" w:hAnsi="Arial"/>
          <w:color w:val="1A1A1A"/>
          <w:sz w:val="20"/>
          <w:szCs w:val="20"/>
        </w:rPr>
        <w:t xml:space="preserve">Prometheus Operator – prometheus-operator.dev: Kubernetes-native monitoring stack</w:t>
      </w:r>
    </w:p>
    <w:p>
      <w:pPr>
        <w:pStyle w:val="ListParagraph"/>
        <w:numPr>
          <w:ilvl w:val="0"/>
          <w:numId w:val="2"/>
        </w:numPr>
        <w:spacing w:after="40" w:before="40"/>
      </w:pPr>
      <w:r>
        <w:rPr>
          <w:rFonts w:ascii="Arial" w:cs="Arial" w:eastAsia="Arial" w:hAnsi="Arial"/>
          <w:color w:val="1A1A1A"/>
          <w:sz w:val="20"/>
          <w:szCs w:val="20"/>
        </w:rPr>
        <w:t xml:space="preserve">Infracost – infracost.io: cloud cost estimation for Terraform in CI/CD</w:t>
      </w:r>
    </w:p>
    <w:p>
      <w:pPr>
        <w:pStyle w:val="ListParagraph"/>
        <w:numPr>
          <w:ilvl w:val="0"/>
          <w:numId w:val="2"/>
        </w:numPr>
        <w:spacing w:after="40" w:before="40"/>
      </w:pPr>
      <w:r>
        <w:rPr>
          <w:rFonts w:ascii="Arial" w:cs="Arial" w:eastAsia="Arial" w:hAnsi="Arial"/>
          <w:color w:val="1A1A1A"/>
          <w:sz w:val="20"/>
          <w:szCs w:val="20"/>
        </w:rPr>
        <w:t xml:space="preserve">Cluster Autoscaler – github.com/kubernetes/autoscaler: node pool scaling documentation</w:t>
      </w:r>
    </w:p>
    <w:p>
      <w:pPr>
        <w:spacing w:after="60" w:before="60"/>
      </w:pPr>
      <w:r>
        <w:t xml:space="preserve"/>
      </w:r>
    </w:p>
    <w:p>
      <w:pPr>
        <w:spacing w:after="60" w:before="60"/>
      </w:pPr>
      <w:r>
        <w:t xml:space="preserve"/>
      </w:r>
    </w:p>
    <w:p>
      <w:pPr>
        <w:pBdr>
          <w:top w:val="single" w:color="2E75B6" w:sz="8"/>
        </w:pBdr>
        <w:spacing w:after="120" w:before="200"/>
        <w:jc w:val="center"/>
      </w:pPr>
      <w:r>
        <w:rPr>
          <w:rFonts w:ascii="Arial" w:cs="Arial" w:eastAsia="Arial" w:hAnsi="Arial"/>
          <w:i/>
          <w:iCs/>
          <w:color w:val="1F4E79"/>
          <w:sz w:val="18"/>
          <w:szCs w:val="18"/>
        </w:rPr>
        <w:t xml:space="preserve">FinOps in Kubernetes – Cloud &amp; On-Premises Reference Guide  |  Version 1.0  |  2025</w:t>
      </w:r>
    </w:p>
    <w:p>
      <w:pPr>
        <w:jc w:val="center"/>
      </w:pPr>
      <w:r>
        <w:rPr>
          <w:rFonts w:ascii="Arial" w:cs="Arial" w:eastAsia="Arial" w:hAnsi="Arial"/>
          <w:i/>
          <w:iCs/>
          <w:color w:val="595959"/>
          <w:sz w:val="16"/>
          <w:szCs w:val="16"/>
        </w:rPr>
        <w:t xml:space="preserve">This document is for internal use only. For questions, contact your platform engineering team.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0"/>
    </w:pPr>
    <w:r>
      <w:rPr>
        <w:rFonts w:ascii="Arial" w:cs="Arial" w:eastAsia="Arial" w:hAnsi="Arial"/>
        <w:color w:val="1F4E79"/>
        <w:sz w:val="16"/>
        <w:szCs w:val="16"/>
      </w:rPr>
      <w:t xml:space="preserve">© 2025 – Internal Use Only | FinOps K8s Reference</w:t>
    </w:r>
    <w:r>
      <w:rPr>
        <w:sz w:val="16"/>
        <w:szCs w:val="16"/>
      </w:rPr>
      <w:t xml:space="preserv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before="0"/>
    </w:pPr>
    <w:r>
      <w:rPr>
        <w:rFonts w:ascii="Arial" w:cs="Arial" w:eastAsia="Arial" w:hAnsi="Arial"/>
        <w:b/>
        <w:bCs/>
        <w:color w:val="1F4E79"/>
        <w:sz w:val="18"/>
        <w:szCs w:val="18"/>
      </w:rPr>
      <w:t xml:space="preserve">FinOps in Kubernetes – Cloud &amp; On-Premises Guide</w:t>
    </w:r>
    <w:r>
      <w:rPr>
        <w:rFonts w:ascii="Arial" w:cs="Arial" w:eastAsia="Arial" w:hAnsi="Arial"/>
        <w:sz w:val="18"/>
        <w:szCs w:val="18"/>
      </w:rPr>
      <w:t xml:space="preserve">	</w:t>
    </w:r>
    <w:r>
      <w:rPr>
        <w:rFonts w:ascii="Arial" w:cs="Arial" w:eastAsia="Arial" w:hAnsi="Arial"/>
        <w:b/>
        <w:bCs/>
        <w:color w:val="C55A11"/>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97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2026-03-31T23:53:48.068Z</dcterms:created>
  <dcterms:modified xsi:type="dcterms:W3CDTF">2026-03-31T23:53:48.069Z</dcterms:modified>
</cp:coreProperties>
</file>

<file path=docProps/custom.xml><?xml version="1.0" encoding="utf-8"?>
<Properties xmlns="http://schemas.openxmlformats.org/officeDocument/2006/custom-properties" xmlns:vt="http://schemas.openxmlformats.org/officeDocument/2006/docPropsVTypes"/>
</file>