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Arial" w:cs="Arial" w:eastAsia="Arial" w:hAnsi="Arial"/>
          <w:b/>
          <w:bCs/>
          <w:color w:val="1B3A6B"/>
          <w:sz w:val="72"/>
          <w:szCs w:val="72"/>
        </w:rPr>
        <w:t xml:space="preserve">PAYSAFE</w:t>
      </w:r>
    </w:p>
    <w:p>
      <w:pPr>
        <w:spacing w:after="60"/>
        <w:jc w:val="center"/>
      </w:pPr>
      <w:r>
        <w:rPr>
          <w:rFonts w:ascii="Arial" w:cs="Arial" w:eastAsia="Arial" w:hAnsi="Arial"/>
          <w:b/>
          <w:bCs/>
          <w:color w:val="2563EB"/>
          <w:sz w:val="48"/>
          <w:szCs w:val="48"/>
        </w:rPr>
        <w:t xml:space="preserve">API GATEWAY PLATFORM</w:t>
      </w:r>
    </w:p>
    <w:p>
      <w:pPr>
        <w:pBdr>
          <w:bottom w:val="single" w:color="0D9488" w:sz="12"/>
        </w:pBdr>
        <w:spacing w:after="240"/>
      </w:pPr>
    </w:p>
    <w:p>
      <w:pPr>
        <w:spacing w:after="120"/>
        <w:jc w:val="center"/>
      </w:pPr>
      <w:r>
        <w:rPr>
          <w:rFonts w:ascii="Arial" w:cs="Arial" w:eastAsia="Arial" w:hAnsi="Arial"/>
          <w:b w:val="false"/>
          <w:bCs w:val="false"/>
          <w:color w:val="0D9488"/>
          <w:sz w:val="36"/>
          <w:szCs w:val="36"/>
        </w:rPr>
        <w:t xml:space="preserve">Kong API &amp; AI Gateway</w:t>
      </w:r>
    </w:p>
    <w:p>
      <w:pPr>
        <w:spacing w:after="240"/>
        <w:jc w:val="center"/>
      </w:pPr>
      <w:r>
        <w:rPr>
          <w:rFonts w:ascii="Arial" w:cs="Arial" w:eastAsia="Arial" w:hAnsi="Arial"/>
          <w:b/>
          <w:bCs/>
          <w:color w:val="1E293B"/>
          <w:sz w:val="52"/>
          <w:szCs w:val="52"/>
        </w:rPr>
        <w:t xml:space="preserve">Adoption &amp; Transition Plan</w:t>
      </w:r>
    </w:p>
    <w:p>
      <w:pPr>
        <w:spacing w:after="200"/>
      </w:pPr>
      <w:r>
        <w:t xml:space="preserve"/>
      </w:r>
    </w:p>
    <w:p>
      <w:pPr>
        <w:spacing w:after="80"/>
        <w:jc w:val="center"/>
      </w:pPr>
      <w:r>
        <w:rPr>
          <w:rFonts w:ascii="Arial" w:cs="Arial" w:eastAsia="Arial" w:hAnsi="Arial"/>
          <w:i/>
          <w:iCs/>
          <w:color w:val="6B7280"/>
          <w:sz w:val="22"/>
          <w:szCs w:val="22"/>
        </w:rPr>
        <w:t xml:space="preserve">Complete End-to-End Implementation | Operating Model | Migration Strategy</w:t>
      </w:r>
    </w:p>
    <w:p>
      <w:pPr>
        <w:spacing w:after="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Document Version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v1.0 — Initial Release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Classification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Confidential — Internal Use Only</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Owner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Platform Engineering / Architecture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Target Audience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CTO, Platform Leads, Engineering Teams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Date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June 2026</w:t>
            </w:r>
          </w:p>
        </w:tc>
      </w:tr>
    </w:tbl>
    <w:p>
      <w:r>
        <w:br w:type="page"/>
      </w:r>
    </w:p>
    <w:p>
      <w:pPr>
        <w:pStyle w:val="Heading1"/>
        <w:spacing w:after="160" w:before="400"/>
      </w:pPr>
      <w:r>
        <w:rPr>
          <w:rFonts w:ascii="Arial" w:cs="Arial" w:eastAsia="Arial" w:hAnsi="Arial"/>
          <w:b/>
          <w:bCs/>
          <w:color w:val="1B3A6B"/>
          <w:sz w:val="36"/>
          <w:szCs w:val="36"/>
        </w:rPr>
        <w:t xml:space="preserve">1. Executive Summary</w:t>
      </w:r>
    </w:p>
    <w:p>
      <w:pPr>
        <w:pBdr>
          <w:bottom w:val="single" w:color="2563EB" w:sz="6" w:space="1"/>
        </w:pBdr>
        <w:spacing w:after="200"/>
      </w:pPr>
    </w:p>
    <w:p>
      <w:pPr>
        <w:spacing w:after="100"/>
      </w:pPr>
      <w:r>
        <w:rPr>
          <w:rFonts w:ascii="Arial" w:cs="Arial" w:eastAsia="Arial" w:hAnsi="Arial"/>
          <w:b w:val="false"/>
          <w:bCs w:val="false"/>
          <w:i w:val="false"/>
          <w:iCs w:val="false"/>
          <w:color w:val="374151"/>
          <w:sz w:val="22"/>
          <w:szCs w:val="22"/>
        </w:rPr>
        <w:t xml:space="preserve">Paysafe is undergoing a strategic initiative to consolidate and modernize its API management landscape by adopting Kong Gateway as the unified enterprise API Gateway platform, augmented by an AI Gateway capability. This document presents the complete Adoption &amp; Transition Plan — covering strategy, architecture, operating model, phased implementation roadmap, and governance — to guide all engineering, product, and operations teams through this transformation.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8"/>
              <w:bottom w:val="none"/>
              <w:right w:val="single" w:color="DBEAFE" w:sz="1"/>
            </w:tcBorders>
            <w:shd w:fill="DBEAFE" w:val="clear"/>
            <w:tcMar>
              <w:top w:type="dxa" w:w="80"/>
              <w:left w:type="dxa" w:w="160"/>
              <w:bottom w:type="dxa" w:w="40"/>
              <w:right w:type="dxa" w:w="160"/>
            </w:tcMar>
          </w:tcPr>
          <w:p>
            <w:r>
              <w:rPr>
                <w:rFonts w:ascii="Arial" w:cs="Arial" w:eastAsia="Arial" w:hAnsi="Arial"/>
                <w:b/>
                <w:bCs/>
                <w:color w:val="1B3A6B"/>
                <w:sz w:val="22"/>
                <w:szCs w:val="22"/>
              </w:rPr>
              <w:t xml:space="preserve">Strategic Objective</w:t>
            </w:r>
          </w:p>
        </w:tc>
      </w:tr>
      <w:tr>
        <w:tc>
          <w:tcPr>
            <w:tcW w:type="dxa" w:w="9360"/>
            <w:tcBorders>
              <w:top w:val="none"/>
              <w:left w:val="single" w:color="2563EB" w:sz="8"/>
              <w:bottom w:val="none"/>
              <w:right w:val="single" w:color="DBEAFE" w:sz="1"/>
            </w:tcBorders>
            <w:shd w:fill="DBEAFE" w:val="clear"/>
            <w:tcMar>
              <w:top w:type="dxa" w:w="40"/>
              <w:left w:type="dxa" w:w="180"/>
              <w:bottom w:type="dxa" w:w="20"/>
              <w:right w:type="dxa" w:w="160"/>
            </w:tcMar>
          </w:tcPr>
          <w:p>
            <w:r>
              <w:rPr>
                <w:rFonts w:ascii="Arial" w:cs="Arial" w:eastAsia="Arial" w:hAnsi="Arial"/>
                <w:color w:val="374151"/>
                <w:sz w:val="20"/>
                <w:szCs w:val="20"/>
              </w:rPr>
              <w:t xml:space="preserve">• Replace fragmented, legacy API gateway solutions with a single, enterprise-grade Kong platform</w:t>
            </w:r>
          </w:p>
        </w:tc>
      </w:tr>
      <w:tr>
        <w:tc>
          <w:tcPr>
            <w:tcW w:type="dxa" w:w="9360"/>
            <w:tcBorders>
              <w:top w:val="none"/>
              <w:left w:val="single" w:color="2563EB" w:sz="8"/>
              <w:bottom w:val="none"/>
              <w:right w:val="single" w:color="DBEAFE" w:sz="1"/>
            </w:tcBorders>
            <w:shd w:fill="DBEAFE" w:val="clear"/>
            <w:tcMar>
              <w:top w:type="dxa" w:w="40"/>
              <w:left w:type="dxa" w:w="180"/>
              <w:bottom w:type="dxa" w:w="20"/>
              <w:right w:type="dxa" w:w="160"/>
            </w:tcMar>
          </w:tcPr>
          <w:p>
            <w:r>
              <w:rPr>
                <w:rFonts w:ascii="Arial" w:cs="Arial" w:eastAsia="Arial" w:hAnsi="Arial"/>
                <w:color w:val="374151"/>
                <w:sz w:val="20"/>
                <w:szCs w:val="20"/>
              </w:rPr>
              <w:t xml:space="preserve">• Enable AI-powered API management including LLM routing, semantic caching, and AI traffic governance</w:t>
            </w:r>
          </w:p>
        </w:tc>
      </w:tr>
      <w:tr>
        <w:tc>
          <w:tcPr>
            <w:tcW w:type="dxa" w:w="9360"/>
            <w:tcBorders>
              <w:top w:val="none"/>
              <w:left w:val="single" w:color="2563EB" w:sz="8"/>
              <w:bottom w:val="none"/>
              <w:right w:val="single" w:color="DBEAFE" w:sz="1"/>
            </w:tcBorders>
            <w:shd w:fill="DBEAFE" w:val="clear"/>
            <w:tcMar>
              <w:top w:type="dxa" w:w="40"/>
              <w:left w:type="dxa" w:w="180"/>
              <w:bottom w:type="dxa" w:w="20"/>
              <w:right w:type="dxa" w:w="160"/>
            </w:tcMar>
          </w:tcPr>
          <w:p>
            <w:r>
              <w:rPr>
                <w:rFonts w:ascii="Arial" w:cs="Arial" w:eastAsia="Arial" w:hAnsi="Arial"/>
                <w:color w:val="374151"/>
                <w:sz w:val="20"/>
                <w:szCs w:val="20"/>
              </w:rPr>
              <w:t xml:space="preserve">• Reduce operational overhead and total cost of ownership (TCO) by 40–60%</w:t>
            </w:r>
          </w:p>
        </w:tc>
      </w:tr>
      <w:tr>
        <w:tc>
          <w:tcPr>
            <w:tcW w:type="dxa" w:w="9360"/>
            <w:tcBorders>
              <w:top w:val="none"/>
              <w:left w:val="single" w:color="2563EB" w:sz="8"/>
              <w:bottom w:val="none"/>
              <w:right w:val="single" w:color="DBEAFE" w:sz="1"/>
            </w:tcBorders>
            <w:shd w:fill="DBEAFE" w:val="clear"/>
            <w:tcMar>
              <w:top w:type="dxa" w:w="40"/>
              <w:left w:type="dxa" w:w="180"/>
              <w:bottom w:type="dxa" w:w="20"/>
              <w:right w:type="dxa" w:w="160"/>
            </w:tcMar>
          </w:tcPr>
          <w:p>
            <w:r>
              <w:rPr>
                <w:rFonts w:ascii="Arial" w:cs="Arial" w:eastAsia="Arial" w:hAnsi="Arial"/>
                <w:color w:val="374151"/>
                <w:sz w:val="20"/>
                <w:szCs w:val="20"/>
              </w:rPr>
              <w:t xml:space="preserve">• Achieve 99.99% availability SLA across all gateway-managed APIs</w:t>
            </w:r>
          </w:p>
        </w:tc>
      </w:tr>
      <w:tr>
        <w:tc>
          <w:tcPr>
            <w:tcW w:type="dxa" w:w="9360"/>
            <w:tcBorders>
              <w:top w:val="none"/>
              <w:left w:val="single" w:color="2563EB" w:sz="8"/>
              <w:bottom w:val="single" w:color="2563EB" w:sz="1"/>
              <w:right w:val="single" w:color="DBEAFE" w:sz="1"/>
            </w:tcBorders>
            <w:shd w:fill="DBEAFE" w:val="clear"/>
            <w:tcMar>
              <w:top w:type="dxa" w:w="40"/>
              <w:left w:type="dxa" w:w="180"/>
              <w:bottom w:type="dxa" w:w="80"/>
              <w:right w:type="dxa" w:w="160"/>
            </w:tcMar>
          </w:tcPr>
          <w:p>
            <w:r>
              <w:rPr>
                <w:rFonts w:ascii="Arial" w:cs="Arial" w:eastAsia="Arial" w:hAnsi="Arial"/>
                <w:color w:val="374151"/>
                <w:sz w:val="20"/>
                <w:szCs w:val="20"/>
              </w:rPr>
              <w:t xml:space="preserve">• Accelerate time-to-market for new payment products and developer onboarding</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1.1 Scope</w:t>
      </w:r>
    </w:p>
    <w:p>
      <w:pPr>
        <w:spacing w:after="100"/>
      </w:pPr>
      <w:r>
        <w:rPr>
          <w:rFonts w:ascii="Arial" w:cs="Arial" w:eastAsia="Arial" w:hAnsi="Arial"/>
          <w:b w:val="false"/>
          <w:bCs w:val="false"/>
          <w:i w:val="false"/>
          <w:iCs w:val="false"/>
          <w:color w:val="374151"/>
          <w:sz w:val="22"/>
          <w:szCs w:val="22"/>
        </w:rPr>
        <w:t xml:space="preserve">This plan covers the full lifecycle transition of all Paysafe API gateways including:</w:t>
      </w:r>
    </w:p>
    <w:p>
      <w:pPr>
        <w:pStyle w:val="ListParagraph"/>
        <w:numPr>
          <w:ilvl w:val="0"/>
          <w:numId w:val="2"/>
        </w:numPr>
        <w:spacing w:after="60"/>
      </w:pPr>
      <w:r>
        <w:rPr>
          <w:rFonts w:ascii="Arial" w:cs="Arial" w:eastAsia="Arial" w:hAnsi="Arial"/>
          <w:color w:val="374151"/>
          <w:sz w:val="22"/>
          <w:szCs w:val="22"/>
        </w:rPr>
        <w:t xml:space="preserve">Payment processing APIs (card, ACH, e-wallet, crypto)</w:t>
      </w:r>
    </w:p>
    <w:p>
      <w:pPr>
        <w:pStyle w:val="ListParagraph"/>
        <w:numPr>
          <w:ilvl w:val="0"/>
          <w:numId w:val="2"/>
        </w:numPr>
        <w:spacing w:after="60"/>
      </w:pPr>
      <w:r>
        <w:rPr>
          <w:rFonts w:ascii="Arial" w:cs="Arial" w:eastAsia="Arial" w:hAnsi="Arial"/>
          <w:color w:val="374151"/>
          <w:sz w:val="22"/>
          <w:szCs w:val="22"/>
        </w:rPr>
        <w:t xml:space="preserve">Partner and merchant integration APIs</w:t>
      </w:r>
    </w:p>
    <w:p>
      <w:pPr>
        <w:pStyle w:val="ListParagraph"/>
        <w:numPr>
          <w:ilvl w:val="0"/>
          <w:numId w:val="2"/>
        </w:numPr>
        <w:spacing w:after="60"/>
      </w:pPr>
      <w:r>
        <w:rPr>
          <w:rFonts w:ascii="Arial" w:cs="Arial" w:eastAsia="Arial" w:hAnsi="Arial"/>
          <w:color w:val="374151"/>
          <w:sz w:val="22"/>
          <w:szCs w:val="22"/>
        </w:rPr>
        <w:t xml:space="preserve">Internal microservices mesh APIs</w:t>
      </w:r>
    </w:p>
    <w:p>
      <w:pPr>
        <w:pStyle w:val="ListParagraph"/>
        <w:numPr>
          <w:ilvl w:val="0"/>
          <w:numId w:val="2"/>
        </w:numPr>
        <w:spacing w:after="60"/>
      </w:pPr>
      <w:r>
        <w:rPr>
          <w:rFonts w:ascii="Arial" w:cs="Arial" w:eastAsia="Arial" w:hAnsi="Arial"/>
          <w:color w:val="374151"/>
          <w:sz w:val="22"/>
          <w:szCs w:val="22"/>
        </w:rPr>
        <w:t xml:space="preserve">AI/ML model serving APIs and LLM integrations</w:t>
      </w:r>
    </w:p>
    <w:p>
      <w:pPr>
        <w:pStyle w:val="ListParagraph"/>
        <w:numPr>
          <w:ilvl w:val="0"/>
          <w:numId w:val="2"/>
        </w:numPr>
        <w:spacing w:after="60"/>
      </w:pPr>
      <w:r>
        <w:rPr>
          <w:rFonts w:ascii="Arial" w:cs="Arial" w:eastAsia="Arial" w:hAnsi="Arial"/>
          <w:color w:val="374151"/>
          <w:sz w:val="22"/>
          <w:szCs w:val="22"/>
        </w:rPr>
        <w:t xml:space="preserve">Developer portal and API lifecycle management</w:t>
      </w:r>
    </w:p>
    <w:p>
      <w:pPr>
        <w:spacing w:after="100"/>
      </w:pPr>
      <w:r>
        <w:t xml:space="preserve"/>
      </w:r>
    </w:p>
    <w:p>
      <w:pPr>
        <w:pStyle w:val="Heading2"/>
        <w:spacing w:after="120" w:before="300"/>
      </w:pPr>
      <w:r>
        <w:rPr>
          <w:rFonts w:ascii="Arial" w:cs="Arial" w:eastAsia="Arial" w:hAnsi="Arial"/>
          <w:b/>
          <w:bCs/>
          <w:color w:val="1B3A6B"/>
          <w:sz w:val="28"/>
          <w:szCs w:val="28"/>
        </w:rPr>
        <w:t xml:space="preserve">1.2 Key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Outcome Area</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State</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State</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 Gateway Platforms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5–7 disparate gateway solutions</w:t>
            </w:r>
          </w:p>
        </w:tc>
        <w:tc>
          <w:tcPr>
            <w:tcW w:type="dxa" w:w="312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1 unified Kong platform</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 Onboarding Time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2–4 weeks manual process</w:t>
            </w:r>
          </w:p>
        </w:tc>
        <w:tc>
          <w:tcPr>
            <w:tcW w:type="dxa" w:w="312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&lt; 2 days automated pipeline</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Observability Coverage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Partial / inconsistent</w:t>
            </w:r>
          </w:p>
        </w:tc>
        <w:tc>
          <w:tcPr>
            <w:tcW w:type="dxa" w:w="312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100% unified telemetry</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 Capability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 / ad hoc</w:t>
            </w:r>
          </w:p>
        </w:tc>
        <w:tc>
          <w:tcPr>
            <w:tcW w:type="dxa" w:w="312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 AI traffic management</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Developer Portal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Multiple fragmented portals</w:t>
            </w:r>
          </w:p>
        </w:tc>
        <w:tc>
          <w:tcPr>
            <w:tcW w:type="dxa" w:w="312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Single unified developer hub</w:t>
            </w:r>
          </w:p>
        </w:tc>
      </w:tr>
    </w:tbl>
    <w:p>
      <w:r>
        <w:br w:type="page"/>
      </w:r>
    </w:p>
    <w:p>
      <w:pPr>
        <w:pStyle w:val="Heading1"/>
        <w:spacing w:after="160" w:before="400"/>
      </w:pPr>
      <w:r>
        <w:rPr>
          <w:rFonts w:ascii="Arial" w:cs="Arial" w:eastAsia="Arial" w:hAnsi="Arial"/>
          <w:b/>
          <w:bCs/>
          <w:color w:val="1B3A6B"/>
          <w:sz w:val="36"/>
          <w:szCs w:val="36"/>
        </w:rPr>
        <w:t xml:space="preserve">2. Target Platform Architecture</w:t>
      </w:r>
    </w:p>
    <w:p>
      <w:pPr>
        <w:pBdr>
          <w:bottom w:val="single" w:color="2563EB" w:sz="6" w:space="1"/>
        </w:pBdr>
        <w:spacing w:after="200"/>
      </w:pPr>
    </w:p>
    <w:p>
      <w:pPr>
        <w:spacing w:after="100"/>
      </w:pPr>
      <w:r>
        <w:rPr>
          <w:rFonts w:ascii="Arial" w:cs="Arial" w:eastAsia="Arial" w:hAnsi="Arial"/>
          <w:b w:val="false"/>
          <w:bCs w:val="false"/>
          <w:i w:val="false"/>
          <w:iCs w:val="false"/>
          <w:color w:val="374151"/>
          <w:sz w:val="22"/>
          <w:szCs w:val="22"/>
        </w:rPr>
        <w:t xml:space="preserve">The target architecture positions Kong Gateway as the central control and data plane for all API traffic, integrated with Paysafe's existing cloud-native infrastructure, observability stack, and AI/ML services.</w:t>
      </w:r>
    </w:p>
    <w:p>
      <w:pPr>
        <w:spacing w:after="120"/>
      </w:pPr>
      <w:r>
        <w:t xml:space="preserve"/>
      </w:r>
    </w:p>
    <w:p>
      <w:pPr>
        <w:pStyle w:val="Heading2"/>
        <w:spacing w:after="120" w:before="300"/>
      </w:pPr>
      <w:r>
        <w:rPr>
          <w:rFonts w:ascii="Arial" w:cs="Arial" w:eastAsia="Arial" w:hAnsi="Arial"/>
          <w:b/>
          <w:bCs/>
          <w:color w:val="1B3A6B"/>
          <w:sz w:val="28"/>
          <w:szCs w:val="28"/>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7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Components</w:t>
            </w:r>
          </w:p>
        </w:tc>
        <w:tc>
          <w:tcPr>
            <w:tcW w:type="dxa" w:w="37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r>
      <w:tr>
        <w:tc>
          <w:tcPr>
            <w:tcW w:type="dxa" w:w="180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Client Layer</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Mobile apps, web clients, partner systems, third-party integrations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HTTPS/TLS 1.3, mTLS, OAuth 2.0 / OIDC</w:t>
            </w:r>
          </w:p>
        </w:tc>
      </w:tr>
      <w:tr>
        <w:tc>
          <w:tcPr>
            <w:tcW w:type="dxa" w:w="1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Edge / CDN</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DDoS protection, WAF, rate limiting at edge, geo-routing</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Cloudflare / AWS CloudFront + WAF</w:t>
            </w:r>
          </w:p>
        </w:tc>
      </w:tr>
      <w:tr>
        <w:tc>
          <w:tcPr>
            <w:tcW w:type="dxa" w:w="18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API Gateway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Gateway (Data Plane) — routing, auth, rate limiting, transformation, plugins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Enterprise 3.x, Konnect, Custom Plugins (Lua/Go)</w:t>
            </w:r>
          </w:p>
        </w:tc>
      </w:tr>
      <w:tr>
        <w:tc>
          <w:tcPr>
            <w:tcW w:type="dxa" w:w="1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AI Gateway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LLM proxy, semantic caching, prompt governance, model routing, cost controls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AI Proxy Plugin, LangChain, OpenAI / Azure OpenAI / Bedrock</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Control Plane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Konnect (SaaS Control Plane) — config management, analytics, Dev Portal</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Konnect, Terraform, GitOps (ArgoCD)</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Backend Services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Payment microservices, partner APIs, internal services, AI/ML endpoints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Kubernetes (EKS/GKE), gRPC, REST, GraphQL</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Observability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Metrics, traces, logs, alerting, SLO dashboards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Grafana, Jaeger/Tempo, ELK Stack, PagerDuty</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2.2 Kong Deployment Model</w:t>
      </w:r>
    </w:p>
    <w:p>
      <w:pPr>
        <w:spacing w:after="100"/>
      </w:pPr>
      <w:r>
        <w:rPr>
          <w:rFonts w:ascii="Arial" w:cs="Arial" w:eastAsia="Arial" w:hAnsi="Arial"/>
          <w:b w:val="false"/>
          <w:bCs w:val="false"/>
          <w:i w:val="false"/>
          <w:iCs w:val="false"/>
          <w:color w:val="374151"/>
          <w:sz w:val="22"/>
          <w:szCs w:val="22"/>
        </w:rPr>
        <w:t xml:space="preserve">Paysafe will adopt the Kong Konnect hybrid deployment model: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51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Deployment</w:t>
            </w:r>
          </w:p>
        </w:tc>
        <w:tc>
          <w:tcPr>
            <w:tcW w:type="dxa" w:w="351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Control Plane</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Konnect SaaS (fully managed)</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Eliminates DB management, auto-scaling, always-on availability</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Data Plane (Prod)</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Self-hosted on Paysafe Kubernetes clusters (EKS)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 sovereignty, PCI-DSS compliance, low latency for payment APIs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Data Plane (Non-Prod)</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Shared Kubernetes namespace per environment</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Cost optimisation for dev/test/staging environments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AI Proxy Plugin + sidecar LLM router on dedicated node pool</w:t>
            </w:r>
          </w:p>
        </w:tc>
        <w:tc>
          <w:tcPr>
            <w:tcW w:type="dxa" w:w="35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Isolation of AI traffic, GPU node pool access, cost attribution</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2.3 AI Gateway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8"/>
              <w:bottom w:val="none"/>
              <w:right w:val="single" w:color="CCFBF1" w:sz="1"/>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AI Gateway — Core Features</w:t>
            </w:r>
          </w:p>
        </w:tc>
      </w:tr>
      <w:tr>
        <w:tc>
          <w:tcPr>
            <w:tcW w:type="dxa" w:w="9360"/>
            <w:tcBorders>
              <w:top w:val="none"/>
              <w:left w:val="single" w:color="0D9488" w:sz="8"/>
              <w:bottom w:val="none"/>
              <w:right w:val="single" w:color="CCFBF1" w:sz="1"/>
            </w:tcBorders>
            <w:shd w:fill="CCFBF1" w:val="clear"/>
            <w:tcMar>
              <w:top w:type="dxa" w:w="40"/>
              <w:left w:type="dxa" w:w="180"/>
              <w:bottom w:type="dxa" w:w="20"/>
              <w:right w:type="dxa" w:w="160"/>
            </w:tcMar>
          </w:tcPr>
          <w:p>
            <w:r>
              <w:rPr>
                <w:rFonts w:ascii="Arial" w:cs="Arial" w:eastAsia="Arial" w:hAnsi="Arial"/>
                <w:color w:val="374151"/>
                <w:sz w:val="20"/>
                <w:szCs w:val="20"/>
              </w:rPr>
              <w:t xml:space="preserve">• LLM Traffic Routing: Intelligent routing to OpenAI, Azure OpenAI, AWS Bedrock, Anthropic — with failover and load balancing</w:t>
            </w:r>
          </w:p>
        </w:tc>
      </w:tr>
      <w:tr>
        <w:tc>
          <w:tcPr>
            <w:tcW w:type="dxa" w:w="9360"/>
            <w:tcBorders>
              <w:top w:val="none"/>
              <w:left w:val="single" w:color="0D9488" w:sz="8"/>
              <w:bottom w:val="none"/>
              <w:right w:val="single" w:color="CCFBF1" w:sz="1"/>
            </w:tcBorders>
            <w:shd w:fill="CCFBF1" w:val="clear"/>
            <w:tcMar>
              <w:top w:type="dxa" w:w="40"/>
              <w:left w:type="dxa" w:w="180"/>
              <w:bottom w:type="dxa" w:w="20"/>
              <w:right w:type="dxa" w:w="160"/>
            </w:tcMar>
          </w:tcPr>
          <w:p>
            <w:r>
              <w:rPr>
                <w:rFonts w:ascii="Arial" w:cs="Arial" w:eastAsia="Arial" w:hAnsi="Arial"/>
                <w:color w:val="374151"/>
                <w:sz w:val="20"/>
                <w:szCs w:val="20"/>
              </w:rPr>
              <w:t xml:space="preserve">• Semantic Caching: Cache LLM responses based on semantic similarity to reduce latency and cost by 30–50%</w:t>
            </w:r>
          </w:p>
        </w:tc>
      </w:tr>
      <w:tr>
        <w:tc>
          <w:tcPr>
            <w:tcW w:type="dxa" w:w="9360"/>
            <w:tcBorders>
              <w:top w:val="none"/>
              <w:left w:val="single" w:color="0D9488" w:sz="8"/>
              <w:bottom w:val="none"/>
              <w:right w:val="single" w:color="CCFBF1" w:sz="1"/>
            </w:tcBorders>
            <w:shd w:fill="CCFBF1" w:val="clear"/>
            <w:tcMar>
              <w:top w:type="dxa" w:w="40"/>
              <w:left w:type="dxa" w:w="180"/>
              <w:bottom w:type="dxa" w:w="20"/>
              <w:right w:type="dxa" w:w="160"/>
            </w:tcMar>
          </w:tcPr>
          <w:p>
            <w:r>
              <w:rPr>
                <w:rFonts w:ascii="Arial" w:cs="Arial" w:eastAsia="Arial" w:hAnsi="Arial"/>
                <w:color w:val="374151"/>
                <w:sz w:val="20"/>
                <w:szCs w:val="20"/>
              </w:rPr>
              <w:t xml:space="preserve">• Prompt Governance: Policy enforcement on prompt content, PII detection, injection attack prevention</w:t>
            </w:r>
          </w:p>
        </w:tc>
      </w:tr>
      <w:tr>
        <w:tc>
          <w:tcPr>
            <w:tcW w:type="dxa" w:w="9360"/>
            <w:tcBorders>
              <w:top w:val="none"/>
              <w:left w:val="single" w:color="0D9488" w:sz="8"/>
              <w:bottom w:val="none"/>
              <w:right w:val="single" w:color="CCFBF1" w:sz="1"/>
            </w:tcBorders>
            <w:shd w:fill="CCFBF1" w:val="clear"/>
            <w:tcMar>
              <w:top w:type="dxa" w:w="40"/>
              <w:left w:type="dxa" w:w="180"/>
              <w:bottom w:type="dxa" w:w="20"/>
              <w:right w:type="dxa" w:w="160"/>
            </w:tcMar>
          </w:tcPr>
          <w:p>
            <w:r>
              <w:rPr>
                <w:rFonts w:ascii="Arial" w:cs="Arial" w:eastAsia="Arial" w:hAnsi="Arial"/>
                <w:color w:val="374151"/>
                <w:sz w:val="20"/>
                <w:szCs w:val="20"/>
              </w:rPr>
              <w:t xml:space="preserve">• Rate Limiting &amp; Cost Controls: Per-consumer token budgets, spend caps, quota enforcement</w:t>
            </w:r>
          </w:p>
        </w:tc>
      </w:tr>
      <w:tr>
        <w:tc>
          <w:tcPr>
            <w:tcW w:type="dxa" w:w="9360"/>
            <w:tcBorders>
              <w:top w:val="none"/>
              <w:left w:val="single" w:color="0D9488" w:sz="8"/>
              <w:bottom w:val="none"/>
              <w:right w:val="single" w:color="CCFBF1" w:sz="1"/>
            </w:tcBorders>
            <w:shd w:fill="CCFBF1" w:val="clear"/>
            <w:tcMar>
              <w:top w:type="dxa" w:w="40"/>
              <w:left w:type="dxa" w:w="180"/>
              <w:bottom w:type="dxa" w:w="20"/>
              <w:right w:type="dxa" w:w="160"/>
            </w:tcMar>
          </w:tcPr>
          <w:p>
            <w:r>
              <w:rPr>
                <w:rFonts w:ascii="Arial" w:cs="Arial" w:eastAsia="Arial" w:hAnsi="Arial"/>
                <w:color w:val="374151"/>
                <w:sz w:val="20"/>
                <w:szCs w:val="20"/>
              </w:rPr>
              <w:t xml:space="preserve">• AI Observability: Token usage tracking, latency percentiles, model comparison dashboards</w:t>
            </w:r>
          </w:p>
        </w:tc>
      </w:tr>
      <w:tr>
        <w:tc>
          <w:tcPr>
            <w:tcW w:type="dxa" w:w="9360"/>
            <w:tcBorders>
              <w:top w:val="none"/>
              <w:left w:val="single" w:color="0D9488" w:sz="8"/>
              <w:bottom w:val="single" w:color="0D9488" w:sz="1"/>
              <w:right w:val="single" w:color="CCFBF1" w:sz="1"/>
            </w:tcBorders>
            <w:shd w:fill="CCFBF1" w:val="clear"/>
            <w:tcMar>
              <w:top w:type="dxa" w:w="40"/>
              <w:left w:type="dxa" w:w="180"/>
              <w:bottom w:type="dxa" w:w="80"/>
              <w:right w:type="dxa" w:w="160"/>
            </w:tcMar>
          </w:tcPr>
          <w:p>
            <w:r>
              <w:rPr>
                <w:rFonts w:ascii="Arial" w:cs="Arial" w:eastAsia="Arial" w:hAnsi="Arial"/>
                <w:color w:val="374151"/>
                <w:sz w:val="20"/>
                <w:szCs w:val="20"/>
              </w:rPr>
              <w:t xml:space="preserve">• Model Versioning: A/B testing between model versions, shadow deployments for evaluation</w:t>
            </w:r>
          </w:p>
        </w:tc>
      </w:tr>
    </w:tbl>
    <w:p>
      <w:r>
        <w:br w:type="page"/>
      </w:r>
    </w:p>
    <w:p>
      <w:pPr>
        <w:pStyle w:val="Heading1"/>
        <w:spacing w:after="160" w:before="400"/>
      </w:pPr>
      <w:r>
        <w:rPr>
          <w:rFonts w:ascii="Arial" w:cs="Arial" w:eastAsia="Arial" w:hAnsi="Arial"/>
          <w:b/>
          <w:bCs/>
          <w:color w:val="1B3A6B"/>
          <w:sz w:val="36"/>
          <w:szCs w:val="36"/>
        </w:rPr>
        <w:t xml:space="preserve">3. Operating Model</w:t>
      </w:r>
    </w:p>
    <w:p>
      <w:pPr>
        <w:pBdr>
          <w:bottom w:val="single" w:color="2563EB" w:sz="6" w:space="1"/>
        </w:pBdr>
        <w:spacing w:after="200"/>
      </w:pPr>
    </w:p>
    <w:p>
      <w:pPr>
        <w:spacing w:after="100"/>
      </w:pPr>
      <w:r>
        <w:rPr>
          <w:rFonts w:ascii="Arial" w:cs="Arial" w:eastAsia="Arial" w:hAnsi="Arial"/>
          <w:b w:val="false"/>
          <w:bCs w:val="false"/>
          <w:i w:val="false"/>
          <w:iCs w:val="false"/>
          <w:color w:val="374151"/>
          <w:sz w:val="22"/>
          <w:szCs w:val="22"/>
        </w:rPr>
        <w:t xml:space="preserve">A robust operating model is foundational to sustained platform success. Paysafe will adopt a Platform Engineering model with a centralised API Platform team acting as an internal product team, providing self-service capabilities to consuming engineering squads.</w:t>
      </w:r>
    </w:p>
    <w:p>
      <w:pPr>
        <w:spacing w:after="120"/>
      </w:pPr>
      <w:r>
        <w:t xml:space="preserve"/>
      </w:r>
    </w:p>
    <w:p>
      <w:pPr>
        <w:pStyle w:val="Heading2"/>
        <w:spacing w:after="120" w:before="300"/>
      </w:pPr>
      <w:r>
        <w:rPr>
          <w:rFonts w:ascii="Arial" w:cs="Arial" w:eastAsia="Arial" w:hAnsi="Arial"/>
          <w:b/>
          <w:bCs/>
          <w:color w:val="1B3A6B"/>
          <w:sz w:val="28"/>
          <w:szCs w:val="28"/>
        </w:rPr>
        <w:t xml:space="preserve">3.1 Team Structure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4680"/>
      </w:tblGrid>
      <w:tr>
        <w:tc>
          <w:tcPr>
            <w:tcW w:type="dxa" w:w="21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Team / Role</w:t>
            </w:r>
          </w:p>
        </w:tc>
        <w:tc>
          <w:tcPr>
            <w:tcW w:type="dxa" w:w="252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68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Responsibilities</w:t>
            </w:r>
          </w:p>
        </w:tc>
      </w:tr>
      <w:tr>
        <w:tc>
          <w:tcPr>
            <w:tcW w:type="dxa" w:w="21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 Platform Team</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Central / Platform Engineering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platform ownership, plugin development, release management, SLA ownership, self-service tooling, capacity planning</w:t>
            </w:r>
          </w:p>
        </w:tc>
      </w:tr>
      <w:tr>
        <w:tc>
          <w:tcPr>
            <w:tcW w:type="dxa" w:w="21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API Architecture Guild</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Cross-functional / Chapter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design standards, governance, review of new API onboarding, plugin evaluation, technology radar decisions</w:t>
            </w:r>
          </w:p>
        </w:tc>
      </w:tr>
      <w:tr>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Product Engineering Squads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Consumers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Define API requirements, consume self-service portal, own API definitions (OAS 3.x), manage lifecycle of their APIs</w:t>
            </w:r>
          </w:p>
        </w:tc>
      </w:tr>
      <w:tr>
        <w:tc>
          <w:tcPr>
            <w:tcW w:type="dxa" w:w="2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Security &amp; Compliance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Embedded / Advisory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PCI-DSS controls review, WAF policy, secrets management, certificate lifecycle, penetration testing sign-off</w:t>
            </w:r>
          </w:p>
        </w:tc>
      </w:tr>
      <w:tr>
        <w:tc>
          <w:tcPr>
            <w:tcW w:type="dxa" w:w="2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SRE / Platform Ops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Operations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cluster operations, incident response, SLO monitoring, on-call rotation, capacity and cost optimisation</w:t>
            </w:r>
          </w:p>
        </w:tc>
      </w:tr>
      <w:tr>
        <w:tc>
          <w:tcPr>
            <w:tcW w:type="dxa" w:w="216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AI/ML Engineering</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Specialist / Embedded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AI Gateway configuration, LLM provider integration, prompt governance policies, model performance analysis</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3.2 RACI Matrix — Core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Process / Activity</w:t>
            </w:r>
          </w:p>
        </w:tc>
        <w:tc>
          <w:tcPr>
            <w:tcW w:type="dxa" w:w="1312"/>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 Team</w:t>
            </w:r>
          </w:p>
        </w:tc>
        <w:tc>
          <w:tcPr>
            <w:tcW w:type="dxa" w:w="1312"/>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Architecture</w:t>
            </w:r>
          </w:p>
        </w:tc>
        <w:tc>
          <w:tcPr>
            <w:tcW w:type="dxa" w:w="1312"/>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Product Squads</w:t>
            </w:r>
          </w:p>
        </w:tc>
        <w:tc>
          <w:tcPr>
            <w:tcW w:type="dxa" w:w="1312"/>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w:t>
            </w:r>
          </w:p>
        </w:tc>
        <w:tc>
          <w:tcPr>
            <w:tcW w:type="dxa" w:w="1312"/>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SRE/Ops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Kong Platform Upgrades</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R/A</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New API Onboarding</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Plugin Development</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R/A</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Security Policy (WAF/AuthN)</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Incident Response (P1/P2)</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Capacity Planning</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Cost Optimisation</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 Deprecation</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 Policy</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w:t>
            </w:r>
          </w:p>
        </w:tc>
        <w:tc>
          <w:tcPr>
            <w:tcW w:type="dxa" w:w="1312"/>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Developer Portal Content</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c>
          <w:tcPr>
            <w:tcW w:type="dxa" w:w="13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w:t>
            </w:r>
          </w:p>
        </w:tc>
      </w:tr>
    </w:tbl>
    <w:p>
      <w:pPr>
        <w:spacing w:after="80"/>
      </w:pPr>
      <w:r>
        <w:t xml:space="preserve"/>
      </w:r>
    </w:p>
    <w:p>
      <w:pPr>
        <w:spacing w:after="100"/>
      </w:pPr>
      <w:r>
        <w:rPr>
          <w:rFonts w:ascii="Arial" w:cs="Arial" w:eastAsia="Arial" w:hAnsi="Arial"/>
          <w:b w:val="false"/>
          <w:bCs w:val="false"/>
          <w:i/>
          <w:iCs/>
          <w:color w:val="6B7280"/>
          <w:sz w:val="22"/>
          <w:szCs w:val="22"/>
        </w:rPr>
        <w:t xml:space="preserve">R = Responsible  |  A = Accountable  |  C = Consulted  |  I = Informed</w:t>
      </w:r>
    </w:p>
    <w:p>
      <w:pPr>
        <w:spacing w:after="200"/>
      </w:pPr>
      <w:r>
        <w:t xml:space="preserve"/>
      </w:r>
    </w:p>
    <w:p>
      <w:pPr>
        <w:pStyle w:val="Heading2"/>
        <w:spacing w:after="120" w:before="300"/>
      </w:pPr>
      <w:r>
        <w:rPr>
          <w:rFonts w:ascii="Arial" w:cs="Arial" w:eastAsia="Arial" w:hAnsi="Arial"/>
          <w:b/>
          <w:bCs/>
          <w:color w:val="1B3A6B"/>
          <w:sz w:val="28"/>
          <w:szCs w:val="28"/>
        </w:rPr>
        <w:t xml:space="preserve">3.3 API Lifecycle Management</w:t>
      </w:r>
    </w:p>
    <w:p>
      <w:pPr>
        <w:spacing w:after="100"/>
      </w:pPr>
      <w:r>
        <w:rPr>
          <w:rFonts w:ascii="Arial" w:cs="Arial" w:eastAsia="Arial" w:hAnsi="Arial"/>
          <w:b w:val="false"/>
          <w:bCs w:val="false"/>
          <w:i w:val="false"/>
          <w:iCs w:val="false"/>
          <w:color w:val="374151"/>
          <w:sz w:val="22"/>
          <w:szCs w:val="22"/>
        </w:rPr>
        <w:t xml:space="preserve">All APIs managed on the Kong platform will follow a standardised lifecycle with defined gates at each stage: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2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Activities</w:t>
            </w:r>
          </w:p>
        </w:tc>
        <w:tc>
          <w:tcPr>
            <w:tcW w:type="dxa" w:w="2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Gate Criteria</w:t>
            </w:r>
          </w:p>
        </w:tc>
        <w:tc>
          <w:tcPr>
            <w:tcW w:type="dxa" w:w="2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Tooling</w:t>
            </w:r>
          </w:p>
        </w:tc>
      </w:tr>
      <w:tr>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 Design</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OAS 3.x spec authoring, domain review, security threat modelling</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Spec linted, API guild approved, PII fields classified</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Stoplight Studio, Spectral, GitLab</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 Develop</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Mock server, contract testing, plugin configuration in IaC</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Contract tests passing, plugin config peer-reviewed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Prism, Kong deck, Terraform</w:t>
            </w:r>
          </w:p>
        </w:tc>
      </w:tr>
      <w:tr>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 Test</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Integration tests, load tests, security scan, penetration test</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Performance SLOs met, OWASP top-10 remediated</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k6, OWASP ZAP, Trivy, Postman</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 Deploy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GitOps pipeline, canary release, feature flags, traffic shadowing</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Canary healthy (5min), rollback tested, runbook updated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ArgoCD, Kong decK, FluxCD</w:t>
            </w:r>
          </w:p>
        </w:tc>
      </w:tr>
      <w:tr>
        <w:tc>
          <w:tcPr>
            <w:tcW w:type="dxa" w:w="15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 Operate</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SLO monitoring, on-call alerts, usage dashboards, consumer comms</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SLO ≥ 99.9%, P95 latency within budget, alerts firing</w:t>
            </w:r>
          </w:p>
        </w:tc>
        <w:tc>
          <w:tcPr>
            <w:tcW w:type="dxa" w:w="26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PagerDuty, Kong Analytics</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 Retire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Deprecation notice (90 days), migration support, traffic drain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Zero active consumers, all redirect/migration docs published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Portal, Email/Slack comms</w:t>
            </w:r>
          </w:p>
        </w:tc>
      </w:tr>
    </w:tbl>
    <w:p>
      <w:r>
        <w:br w:type="page"/>
      </w:r>
    </w:p>
    <w:p>
      <w:pPr>
        <w:pStyle w:val="Heading1"/>
        <w:spacing w:after="160" w:before="400"/>
      </w:pPr>
      <w:r>
        <w:rPr>
          <w:rFonts w:ascii="Arial" w:cs="Arial" w:eastAsia="Arial" w:hAnsi="Arial"/>
          <w:b/>
          <w:bCs/>
          <w:color w:val="1B3A6B"/>
          <w:sz w:val="36"/>
          <w:szCs w:val="36"/>
        </w:rPr>
        <w:t xml:space="preserve">4. Transition Strategy</w:t>
      </w:r>
    </w:p>
    <w:p>
      <w:pPr>
        <w:pBdr>
          <w:bottom w:val="single" w:color="2563EB" w:sz="6" w:space="1"/>
        </w:pBdr>
        <w:spacing w:after="200"/>
      </w:pPr>
    </w:p>
    <w:p>
      <w:pPr>
        <w:spacing w:after="100"/>
      </w:pPr>
      <w:r>
        <w:rPr>
          <w:rFonts w:ascii="Arial" w:cs="Arial" w:eastAsia="Arial" w:hAnsi="Arial"/>
          <w:b w:val="false"/>
          <w:bCs w:val="false"/>
          <w:i w:val="false"/>
          <w:iCs w:val="false"/>
          <w:color w:val="374151"/>
          <w:sz w:val="22"/>
          <w:szCs w:val="22"/>
        </w:rPr>
        <w:t xml:space="preserve">The transition follows a strangler fig pattern — incrementally migrating traffic from legacy gateways to Kong without requiring a big-bang cutover. Each API migration is treated as an independent workstream with its own risk profile and rollback plan.</w:t>
      </w:r>
    </w:p>
    <w:p>
      <w:pPr>
        <w:spacing w:after="120"/>
      </w:pPr>
      <w:r>
        <w:t xml:space="preserve"/>
      </w:r>
    </w:p>
    <w:p>
      <w:pPr>
        <w:pStyle w:val="Heading2"/>
        <w:spacing w:after="120" w:before="300"/>
      </w:pPr>
      <w:r>
        <w:rPr>
          <w:rFonts w:ascii="Arial" w:cs="Arial" w:eastAsia="Arial" w:hAnsi="Arial"/>
          <w:b/>
          <w:bCs/>
          <w:color w:val="1B3A6B"/>
          <w:sz w:val="28"/>
          <w:szCs w:val="28"/>
        </w:rPr>
        <w:t xml:space="preserve">4.1 Migration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520"/>
        <w:gridCol w:w="2640"/>
      </w:tblGrid>
      <w:tr>
        <w:tc>
          <w:tcPr>
            <w:tcW w:type="dxa" w:w="168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Approach</w:t>
            </w:r>
          </w:p>
        </w:tc>
        <w:tc>
          <w:tcPr>
            <w:tcW w:type="dxa" w:w="252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52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When to Use</w:t>
            </w:r>
          </w:p>
        </w:tc>
        <w:tc>
          <w:tcPr>
            <w:tcW w:type="dxa" w:w="26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r>
      <w:tr>
        <w:tc>
          <w:tcPr>
            <w:tcW w:type="dxa" w:w="168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Traffic Shadow</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Mirror 100% of production traffic to Kong without affecting consumers; compare responses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migrations — initial validation phase</w:t>
            </w:r>
          </w:p>
        </w:tc>
        <w:tc>
          <w:tcPr>
            <w:tcW w:type="dxa" w:w="2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 ● Low</w:t>
            </w:r>
          </w:p>
        </w:tc>
      </w:tr>
      <w:tr>
        <w:tc>
          <w:tcPr>
            <w:tcW w:type="dxa" w:w="1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Canary Release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Route a small % (1–5%) of traffic to Kong; monitor SLOs before incrementing</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Standard migration path for most APIs</w:t>
            </w:r>
          </w:p>
        </w:tc>
        <w:tc>
          <w:tcPr>
            <w:tcW w:type="dxa" w:w="2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 ● Low–Medium</w:t>
            </w:r>
          </w:p>
        </w:tc>
      </w:tr>
      <w:tr>
        <w:tc>
          <w:tcPr>
            <w:tcW w:type="dxa" w:w="168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B3A6B"/>
                <w:sz w:val="20"/>
                <w:szCs w:val="20"/>
              </w:rPr>
              <w:t xml:space="preserve">Blue/Green</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Dual-stack deployment; instant cutover with instant rollback capability</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High-value payment APIs, critical paths</w:t>
            </w:r>
          </w:p>
        </w:tc>
        <w:tc>
          <w:tcPr>
            <w:tcW w:type="dxa" w:w="2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 ● Medium</w:t>
            </w:r>
          </w:p>
        </w:tc>
      </w:tr>
      <w:tr>
        <w:tc>
          <w:tcPr>
            <w:tcW w:type="dxa" w:w="1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Direct Cutover</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Immediate full migration in maintenance window; for low-traffic internal APIs only</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Low-traffic internal microservice APIs</w:t>
            </w:r>
          </w:p>
        </w:tc>
        <w:tc>
          <w:tcPr>
            <w:tcW w:type="dxa" w:w="26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 ● Medium–High</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4.2 API Migration Prioritisation Framework</w:t>
      </w:r>
    </w:p>
    <w:p>
      <w:pPr>
        <w:spacing w:after="100"/>
      </w:pPr>
      <w:r>
        <w:rPr>
          <w:rFonts w:ascii="Arial" w:cs="Arial" w:eastAsia="Arial" w:hAnsi="Arial"/>
          <w:b w:val="false"/>
          <w:bCs w:val="false"/>
          <w:i w:val="false"/>
          <w:iCs w:val="false"/>
          <w:color w:val="374151"/>
          <w:sz w:val="22"/>
          <w:szCs w:val="22"/>
        </w:rPr>
        <w:t xml:space="preserve">APIs will be scored across four dimensions to determine migration priority and sequencing: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Weight</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 (1–5)</w:t>
            </w:r>
          </w:p>
        </w:tc>
        <w:tc>
          <w:tcPr>
            <w:tcW w:type="dxa" w:w="390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Scoring Criteria</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Business Value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30%</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w:t>
            </w:r>
          </w:p>
        </w:tc>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Revenue impact, strategic importance, partner visibility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Technical Complexity</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w:t>
            </w:r>
          </w:p>
        </w:tc>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Legacy dependencies, custom auth, protocol complexity</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Migration Risk</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25%</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w:t>
            </w:r>
          </w:p>
        </w:tc>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Transaction volume, SLA tier, data sensitivity, compliance scope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Team Readiness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w:t>
            </w:r>
          </w:p>
        </w:tc>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familiarity, documentation quality, test coverage</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4.3 Rollback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none"/>
              <w:right w:val="single" w:color="FEF3C7" w:sz="1"/>
            </w:tcBorders>
            <w:shd w:fill="FEF3C7" w:val="clear"/>
            <w:tcMar>
              <w:top w:type="dxa" w:w="80"/>
              <w:left w:type="dxa" w:w="160"/>
              <w:bottom w:type="dxa" w:w="40"/>
              <w:right w:type="dxa" w:w="160"/>
            </w:tcMar>
          </w:tcPr>
          <w:p>
            <w:r>
              <w:rPr>
                <w:rFonts w:ascii="Arial" w:cs="Arial" w:eastAsia="Arial" w:hAnsi="Arial"/>
                <w:b/>
                <w:bCs/>
                <w:color w:val="D97706"/>
                <w:sz w:val="22"/>
                <w:szCs w:val="22"/>
              </w:rPr>
              <w:t xml:space="preserve">Rollback Principles</w:t>
            </w:r>
          </w:p>
        </w:tc>
      </w:tr>
      <w:tr>
        <w:tc>
          <w:tcPr>
            <w:tcW w:type="dxa" w:w="9360"/>
            <w:tcBorders>
              <w:top w:val="none"/>
              <w:left w:val="single" w:color="D97706" w:sz="8"/>
              <w:bottom w:val="none"/>
              <w:right w:val="single" w:color="FEF3C7" w:sz="1"/>
            </w:tcBorders>
            <w:shd w:fill="FEF3C7" w:val="clear"/>
            <w:tcMar>
              <w:top w:type="dxa" w:w="40"/>
              <w:left w:type="dxa" w:w="180"/>
              <w:bottom w:type="dxa" w:w="20"/>
              <w:right w:type="dxa" w:w="160"/>
            </w:tcMar>
          </w:tcPr>
          <w:p>
            <w:r>
              <w:rPr>
                <w:rFonts w:ascii="Arial" w:cs="Arial" w:eastAsia="Arial" w:hAnsi="Arial"/>
                <w:color w:val="374151"/>
                <w:sz w:val="20"/>
                <w:szCs w:val="20"/>
              </w:rPr>
              <w:t xml:space="preserve">• Every migration must have a documented, tested rollback procedure BEFORE cutover begins</w:t>
            </w:r>
          </w:p>
        </w:tc>
      </w:tr>
      <w:tr>
        <w:tc>
          <w:tcPr>
            <w:tcW w:type="dxa" w:w="9360"/>
            <w:tcBorders>
              <w:top w:val="none"/>
              <w:left w:val="single" w:color="D97706" w:sz="8"/>
              <w:bottom w:val="none"/>
              <w:right w:val="single" w:color="FEF3C7" w:sz="1"/>
            </w:tcBorders>
            <w:shd w:fill="FEF3C7" w:val="clear"/>
            <w:tcMar>
              <w:top w:type="dxa" w:w="40"/>
              <w:left w:type="dxa" w:w="180"/>
              <w:bottom w:type="dxa" w:w="20"/>
              <w:right w:type="dxa" w:w="160"/>
            </w:tcMar>
          </w:tcPr>
          <w:p>
            <w:r>
              <w:rPr>
                <w:rFonts w:ascii="Arial" w:cs="Arial" w:eastAsia="Arial" w:hAnsi="Arial"/>
                <w:color w:val="374151"/>
                <w:sz w:val="20"/>
                <w:szCs w:val="20"/>
              </w:rPr>
              <w:t xml:space="preserve">• Rollback must be executable within 5 minutes for Tier 1 (payment processing) APIs</w:t>
            </w:r>
          </w:p>
        </w:tc>
      </w:tr>
      <w:tr>
        <w:tc>
          <w:tcPr>
            <w:tcW w:type="dxa" w:w="9360"/>
            <w:tcBorders>
              <w:top w:val="none"/>
              <w:left w:val="single" w:color="D97706" w:sz="8"/>
              <w:bottom w:val="none"/>
              <w:right w:val="single" w:color="FEF3C7" w:sz="1"/>
            </w:tcBorders>
            <w:shd w:fill="FEF3C7" w:val="clear"/>
            <w:tcMar>
              <w:top w:type="dxa" w:w="40"/>
              <w:left w:type="dxa" w:w="180"/>
              <w:bottom w:type="dxa" w:w="20"/>
              <w:right w:type="dxa" w:w="160"/>
            </w:tcMar>
          </w:tcPr>
          <w:p>
            <w:r>
              <w:rPr>
                <w:rFonts w:ascii="Arial" w:cs="Arial" w:eastAsia="Arial" w:hAnsi="Arial"/>
                <w:color w:val="374151"/>
                <w:sz w:val="20"/>
                <w:szCs w:val="20"/>
              </w:rPr>
              <w:t xml:space="preserve">• DNS-based traffic switching (via weighted routing) enables instant rollback without code changes</w:t>
            </w:r>
          </w:p>
        </w:tc>
      </w:tr>
      <w:tr>
        <w:tc>
          <w:tcPr>
            <w:tcW w:type="dxa" w:w="9360"/>
            <w:tcBorders>
              <w:top w:val="none"/>
              <w:left w:val="single" w:color="D97706" w:sz="8"/>
              <w:bottom w:val="none"/>
              <w:right w:val="single" w:color="FEF3C7" w:sz="1"/>
            </w:tcBorders>
            <w:shd w:fill="FEF3C7" w:val="clear"/>
            <w:tcMar>
              <w:top w:type="dxa" w:w="40"/>
              <w:left w:type="dxa" w:w="180"/>
              <w:bottom w:type="dxa" w:w="20"/>
              <w:right w:type="dxa" w:w="160"/>
            </w:tcMar>
          </w:tcPr>
          <w:p>
            <w:r>
              <w:rPr>
                <w:rFonts w:ascii="Arial" w:cs="Arial" w:eastAsia="Arial" w:hAnsi="Arial"/>
                <w:color w:val="374151"/>
                <w:sz w:val="20"/>
                <w:szCs w:val="20"/>
              </w:rPr>
              <w:t xml:space="preserve">• Legacy gateway configurations are preserved and kept warm for 90 days post-migration</w:t>
            </w:r>
          </w:p>
        </w:tc>
      </w:tr>
      <w:tr>
        <w:tc>
          <w:tcPr>
            <w:tcW w:type="dxa" w:w="9360"/>
            <w:tcBorders>
              <w:top w:val="none"/>
              <w:left w:val="single" w:color="D97706" w:sz="8"/>
              <w:bottom w:val="none"/>
              <w:right w:val="single" w:color="FEF3C7" w:sz="1"/>
            </w:tcBorders>
            <w:shd w:fill="FEF3C7" w:val="clear"/>
            <w:tcMar>
              <w:top w:type="dxa" w:w="40"/>
              <w:left w:type="dxa" w:w="180"/>
              <w:bottom w:type="dxa" w:w="20"/>
              <w:right w:type="dxa" w:w="160"/>
            </w:tcMar>
          </w:tcPr>
          <w:p>
            <w:r>
              <w:rPr>
                <w:rFonts w:ascii="Arial" w:cs="Arial" w:eastAsia="Arial" w:hAnsi="Arial"/>
                <w:color w:val="374151"/>
                <w:sz w:val="20"/>
                <w:szCs w:val="20"/>
              </w:rPr>
              <w:t xml:space="preserve">• Automated smoke tests run continuously during canary phase; threshold breach triggers auto-rollback</w:t>
            </w:r>
          </w:p>
        </w:tc>
      </w:tr>
      <w:tr>
        <w:tc>
          <w:tcPr>
            <w:tcW w:type="dxa" w:w="9360"/>
            <w:tcBorders>
              <w:top w:val="none"/>
              <w:left w:val="single" w:color="D97706" w:sz="8"/>
              <w:bottom w:val="single" w:color="D97706" w:sz="1"/>
              <w:right w:val="single" w:color="FEF3C7" w:sz="1"/>
            </w:tcBorders>
            <w:shd w:fill="FEF3C7" w:val="clear"/>
            <w:tcMar>
              <w:top w:type="dxa" w:w="40"/>
              <w:left w:type="dxa" w:w="180"/>
              <w:bottom w:type="dxa" w:w="80"/>
              <w:right w:type="dxa" w:w="160"/>
            </w:tcMar>
          </w:tcPr>
          <w:p>
            <w:r>
              <w:rPr>
                <w:rFonts w:ascii="Arial" w:cs="Arial" w:eastAsia="Arial" w:hAnsi="Arial"/>
                <w:color w:val="374151"/>
                <w:sz w:val="20"/>
                <w:szCs w:val="20"/>
              </w:rPr>
              <w:t xml:space="preserve">• Post-migration: Legacy gateway enters read-only monitoring mode for 30 days before decommission</w:t>
            </w:r>
          </w:p>
        </w:tc>
      </w:tr>
    </w:tbl>
    <w:p>
      <w:r>
        <w:br w:type="page"/>
      </w:r>
    </w:p>
    <w:p>
      <w:pPr>
        <w:pStyle w:val="Heading1"/>
        <w:spacing w:after="160" w:before="400"/>
      </w:pPr>
      <w:r>
        <w:rPr>
          <w:rFonts w:ascii="Arial" w:cs="Arial" w:eastAsia="Arial" w:hAnsi="Arial"/>
          <w:b/>
          <w:bCs/>
          <w:color w:val="1B3A6B"/>
          <w:sz w:val="36"/>
          <w:szCs w:val="36"/>
        </w:rPr>
        <w:t xml:space="preserve">5. Phased Implementation Plan</w:t>
      </w:r>
    </w:p>
    <w:p>
      <w:pPr>
        <w:pBdr>
          <w:bottom w:val="single" w:color="2563EB" w:sz="6" w:space="1"/>
        </w:pBdr>
        <w:spacing w:after="200"/>
      </w:pPr>
    </w:p>
    <w:p>
      <w:pPr>
        <w:spacing w:after="100"/>
      </w:pPr>
      <w:r>
        <w:rPr>
          <w:rFonts w:ascii="Arial" w:cs="Arial" w:eastAsia="Arial" w:hAnsi="Arial"/>
          <w:b w:val="false"/>
          <w:bCs w:val="false"/>
          <w:i w:val="false"/>
          <w:iCs w:val="false"/>
          <w:color w:val="374151"/>
          <w:sz w:val="22"/>
          <w:szCs w:val="22"/>
        </w:rPr>
        <w:t xml:space="preserve">The implementation is structured across five phases spanning 18 months, from foundation build-out through full platform optimisation. Each phase has defined deliverables, success criteria, and go/no-go gates.</w:t>
      </w:r>
    </w:p>
    <w:p>
      <w:pPr>
        <w:spacing w:after="120"/>
      </w:pPr>
      <w:r>
        <w:t xml:space="preserve"/>
      </w:r>
    </w:p>
    <w:p>
      <w:pPr>
        <w:pStyle w:val="Heading2"/>
        <w:spacing w:after="120" w:before="300"/>
      </w:pPr>
      <w:r>
        <w:rPr>
          <w:rFonts w:ascii="Arial" w:cs="Arial" w:eastAsia="Arial" w:hAnsi="Arial"/>
          <w:b/>
          <w:bCs/>
          <w:color w:val="1B3A6B"/>
          <w:sz w:val="28"/>
          <w:szCs w:val="28"/>
        </w:rPr>
        <w:t xml:space="preserve">Phase 1: Foundation &amp; Platform Build</w:t>
      </w:r>
    </w:p>
    <w:p>
      <w:pPr>
        <w:spacing w:after="100"/>
      </w:pPr>
      <w:r>
        <w:rPr>
          <w:rFonts w:ascii="Arial" w:cs="Arial" w:eastAsia="Arial" w:hAnsi="Arial"/>
          <w:b/>
          <w:bCs/>
          <w:i w:val="false"/>
          <w:iCs w:val="false"/>
          <w:color w:val="2563EB"/>
          <w:sz w:val="22"/>
          <w:szCs w:val="22"/>
        </w:rPr>
        <w:t xml:space="preserve">Duration: Months 1–3  |  Team: Platform Engineering + Architecture</w:t>
      </w:r>
    </w:p>
    <w:p>
      <w:pPr>
        <w:spacing w:after="80"/>
      </w:pPr>
      <w:r>
        <w:t xml:space="preserve"/>
      </w:r>
    </w:p>
    <w:p>
      <w:pPr>
        <w:spacing w:after="100"/>
      </w:pPr>
      <w:r>
        <w:rPr>
          <w:rFonts w:ascii="Arial" w:cs="Arial" w:eastAsia="Arial" w:hAnsi="Arial"/>
          <w:b w:val="false"/>
          <w:bCs w:val="false"/>
          <w:i/>
          <w:iCs/>
          <w:color w:val="374151"/>
          <w:sz w:val="22"/>
          <w:szCs w:val="22"/>
        </w:rPr>
        <w:t xml:space="preserve">Establish the Kong platform foundation, CI/CD integration, observability stack, and security baselines before any production traffic is migrated.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Workstream</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Kong Konnect Provisioning</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Konnect org setup, control plane config, environments (dev/staging/prod) created</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 1</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Kubernetes Data Plane Deploy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DP Pods on EKS, HPA configured, PodDisruptionBudget set, node affinity rules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 1–2</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GitOps &amp; IaC Pipeline</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Terraform modules for Kong resources, decK integration, ArgoCD pipeline, PR review workflow</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 1–2</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Observability Stack</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scraping Kong metrics, Grafana dashboards, Jaeger tracing, ELK log pipeline, PagerDuty alerts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 2</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Security Baseline</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mTLS between DP nodes, secrets in HashiCorp Vault, OIDC for developer portal, WAF rules imported</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 2–3</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Developer Portal (MVP)</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Dev Portal deployed, API catalogue seeded, getting-started guides published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 3</w:t>
            </w:r>
          </w:p>
        </w:tc>
      </w:tr>
      <w:tr>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 Prototype</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AI Proxy Plugin configured, OpenAI + Azure OpenAI providers connected, basic routing tested</w:t>
            </w:r>
          </w:p>
        </w:tc>
        <w:tc>
          <w:tcPr>
            <w:tcW w:type="dxa" w:w="312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 3</w:t>
            </w:r>
          </w:p>
        </w:tc>
      </w:tr>
    </w:tbl>
    <w:p>
      <w:pPr>
        <w:spacing w:after="80"/>
      </w:pPr>
      <w:r>
        <w:t xml:space="preserve"/>
      </w:r>
    </w:p>
    <w:p>
      <w:pPr>
        <w:spacing w:after="100"/>
      </w:pPr>
      <w:r>
        <w:rPr>
          <w:rFonts w:ascii="Arial" w:cs="Arial" w:eastAsia="Arial" w:hAnsi="Arial"/>
          <w:b/>
          <w:bCs/>
          <w:i w:val="false"/>
          <w:iCs w:val="false"/>
          <w:color w:val="16A34A"/>
          <w:sz w:val="22"/>
          <w:szCs w:val="22"/>
        </w:rPr>
        <w:t xml:space="preserve">✅ Phase 1 Gate: Kong platform passes security review, all environments healthy, first internal API routed through Kong successfully.</w:t>
      </w:r>
    </w:p>
    <w:p>
      <w:pPr>
        <w:spacing w:after="200"/>
      </w:pPr>
      <w:r>
        <w:t xml:space="preserve"/>
      </w:r>
    </w:p>
    <w:p>
      <w:pPr>
        <w:pStyle w:val="Heading2"/>
        <w:spacing w:after="120" w:before="300"/>
      </w:pPr>
      <w:r>
        <w:rPr>
          <w:rFonts w:ascii="Arial" w:cs="Arial" w:eastAsia="Arial" w:hAnsi="Arial"/>
          <w:b/>
          <w:bCs/>
          <w:color w:val="1B3A6B"/>
          <w:sz w:val="28"/>
          <w:szCs w:val="28"/>
        </w:rPr>
        <w:t xml:space="preserve">Phase 2: Pilot Migration — Internal APIs</w:t>
      </w:r>
    </w:p>
    <w:p>
      <w:pPr>
        <w:spacing w:after="100"/>
      </w:pPr>
      <w:r>
        <w:rPr>
          <w:rFonts w:ascii="Arial" w:cs="Arial" w:eastAsia="Arial" w:hAnsi="Arial"/>
          <w:b/>
          <w:bCs/>
          <w:i w:val="false"/>
          <w:iCs w:val="false"/>
          <w:color w:val="2563EB"/>
          <w:sz w:val="22"/>
          <w:szCs w:val="22"/>
        </w:rPr>
        <w:t xml:space="preserve">Duration: Months 3–6  |  Team: Platform Eng + 2 Product Squads (Pilot)</w:t>
      </w:r>
    </w:p>
    <w:p>
      <w:pPr>
        <w:spacing w:after="80"/>
      </w:pPr>
      <w:r>
        <w:t xml:space="preserve"/>
      </w:r>
    </w:p>
    <w:p>
      <w:pPr>
        <w:spacing w:after="100"/>
      </w:pPr>
      <w:r>
        <w:rPr>
          <w:rFonts w:ascii="Arial" w:cs="Arial" w:eastAsia="Arial" w:hAnsi="Arial"/>
          <w:b w:val="false"/>
          <w:bCs w:val="false"/>
          <w:i/>
          <w:iCs/>
          <w:color w:val="374151"/>
          <w:sz w:val="22"/>
          <w:szCs w:val="22"/>
        </w:rPr>
        <w:t xml:space="preserve">Migrate a selected set of low-risk internal microservice APIs to prove the migration process, build team muscle, and validate tooling before touching production payment APIs.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Workstream</w:t>
            </w:r>
          </w:p>
        </w:tc>
        <w:tc>
          <w:tcPr>
            <w:tcW w:type="dxa" w:w="3120"/>
            <w:tcBorders>
              <w:top w:val="single" w:color="FFFFFF" w:sz="1"/>
              <w:left w:val="single" w:color="FFFFFF" w:sz="1"/>
              <w:bottom w:val="single" w:color="FFFFFF" w:sz="1"/>
              <w:right w:val="single" w:color="FFFFFF"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c>
          <w:tcPr>
            <w:tcW w:type="dxa" w:w="3120"/>
            <w:tcBorders>
              <w:top w:val="single" w:color="FFFFFF" w:sz="1"/>
              <w:left w:val="single" w:color="FFFFFF" w:sz="1"/>
              <w:bottom w:val="single" w:color="FFFFFF" w:sz="1"/>
              <w:right w:val="single" w:color="FFFFFF"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Migration Runbook v1</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Standardised migration playbook, checklist, rollback procedures documented</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3</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Internal API Migration (5–8)</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Auth service API, notification service API, reporting internal API — all migrated via canary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4–5</w:t>
            </w:r>
          </w:p>
        </w:tc>
      </w:tr>
      <w:tr>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Plugin Catalogue (v1)</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Rate limiting, JWT auth, request transformation, CORS, logging plugins configured</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4</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Traffic Shadowing Framework</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Automated shadow comparison tool, diff reports, SLO comparison dashboards live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5</w:t>
            </w:r>
          </w:p>
        </w:tc>
      </w:tr>
      <w:tr>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 — Internal</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Internal AI/ML model serving APIs routed through AI Gateway, semantic cache tested</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5–6</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Self-Service Onboarding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onboarding wizard in developer portal; squads can self-serve API creation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6</w:t>
            </w:r>
          </w:p>
        </w:tc>
      </w:tr>
      <w:tr>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Operations Runbooks</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Incident response playbooks, escalation matrix, on-call rotation established</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6</w:t>
            </w:r>
          </w:p>
        </w:tc>
      </w:tr>
    </w:tbl>
    <w:p>
      <w:pPr>
        <w:spacing w:after="80"/>
      </w:pPr>
      <w:r>
        <w:t xml:space="preserve"/>
      </w:r>
    </w:p>
    <w:p>
      <w:pPr>
        <w:spacing w:after="100"/>
      </w:pPr>
      <w:r>
        <w:rPr>
          <w:rFonts w:ascii="Arial" w:cs="Arial" w:eastAsia="Arial" w:hAnsi="Arial"/>
          <w:b/>
          <w:bCs/>
          <w:i w:val="false"/>
          <w:iCs w:val="false"/>
          <w:color w:val="16A34A"/>
          <w:sz w:val="22"/>
          <w:szCs w:val="22"/>
        </w:rPr>
        <w:t xml:space="preserve">✅ Phase 2 Gate: 8+ internal APIs live on Kong, zero production incidents, migration playbook validated, team NPS &gt; 7.</w:t>
      </w:r>
    </w:p>
    <w:p>
      <w:pPr>
        <w:spacing w:after="200"/>
      </w:pPr>
      <w:r>
        <w:t xml:space="preserve"/>
      </w:r>
    </w:p>
    <w:p>
      <w:pPr>
        <w:pStyle w:val="Heading2"/>
        <w:spacing w:after="120" w:before="300"/>
      </w:pPr>
      <w:r>
        <w:rPr>
          <w:rFonts w:ascii="Arial" w:cs="Arial" w:eastAsia="Arial" w:hAnsi="Arial"/>
          <w:b/>
          <w:bCs/>
          <w:color w:val="1B3A6B"/>
          <w:sz w:val="28"/>
          <w:szCs w:val="28"/>
        </w:rPr>
        <w:t xml:space="preserve">Phase 3: Core Payment API Migration</w:t>
      </w:r>
    </w:p>
    <w:p>
      <w:pPr>
        <w:spacing w:after="100"/>
      </w:pPr>
      <w:r>
        <w:rPr>
          <w:rFonts w:ascii="Arial" w:cs="Arial" w:eastAsia="Arial" w:hAnsi="Arial"/>
          <w:b/>
          <w:bCs/>
          <w:i w:val="false"/>
          <w:iCs w:val="false"/>
          <w:color w:val="2563EB"/>
          <w:sz w:val="22"/>
          <w:szCs w:val="22"/>
        </w:rPr>
        <w:t xml:space="preserve">Duration: Months 6–12  |  Team: All Squads + Platform Eng + Security + SRE</w:t>
      </w:r>
    </w:p>
    <w:p>
      <w:pPr>
        <w:spacing w:after="80"/>
      </w:pPr>
      <w:r>
        <w:t xml:space="preserve"/>
      </w:r>
    </w:p>
    <w:p>
      <w:pPr>
        <w:spacing w:after="100"/>
      </w:pPr>
      <w:r>
        <w:rPr>
          <w:rFonts w:ascii="Arial" w:cs="Arial" w:eastAsia="Arial" w:hAnsi="Arial"/>
          <w:b w:val="false"/>
          <w:bCs w:val="false"/>
          <w:i/>
          <w:iCs/>
          <w:color w:val="374151"/>
          <w:sz w:val="22"/>
          <w:szCs w:val="22"/>
        </w:rPr>
        <w:t xml:space="preserve">Migrate the core payment processing, merchant, and partner APIs — the highest-value and highest-risk workstreams. PCI-DSS compliance controls are paramount throughout this phase.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API Group</w:t>
            </w:r>
          </w:p>
        </w:tc>
        <w:tc>
          <w:tcPr>
            <w:tcW w:type="dxa" w:w="3120"/>
            <w:tcBorders>
              <w:top w:val="single" w:color="FFFFFF" w:sz="1"/>
              <w:left w:val="single" w:color="FFFFFF" w:sz="1"/>
              <w:bottom w:val="single" w:color="FFFFFF" w:sz="1"/>
              <w:right w:val="single" w:color="FFFFFF"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Migration Approach</w:t>
            </w:r>
          </w:p>
        </w:tc>
        <w:tc>
          <w:tcPr>
            <w:tcW w:type="dxa" w:w="3120"/>
            <w:tcBorders>
              <w:top w:val="single" w:color="FFFFFF" w:sz="1"/>
              <w:left w:val="single" w:color="FFFFFF" w:sz="1"/>
              <w:bottom w:val="single" w:color="FFFFFF" w:sz="1"/>
              <w:right w:val="single" w:color="FFFFFF" w:sz="1"/>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Card Payment Processing APIs</w:t>
            </w:r>
          </w:p>
        </w:tc>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Blue/Green with extended shadow phase (4 weeks), PCI-DSS audit checkpoint</w:t>
            </w:r>
          </w:p>
        </w:tc>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Month 6–8</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ACH / Bank Transfer APIs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Canary (1% → 5% → 25% → 100%) over 6 weeks, real-time SLO gating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Month 7–9</w:t>
            </w:r>
          </w:p>
        </w:tc>
      </w:tr>
      <w:tr>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E-Wallet APIs</w:t>
            </w:r>
          </w:p>
        </w:tc>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Canary migration, extended for high-volume peak periods, A/B latency validation</w:t>
            </w:r>
          </w:p>
        </w:tc>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Month 8–10</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Merchant Integration APIs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Partner notification campaign, canary, dedicated migration support team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Month 9–11</w:t>
            </w:r>
          </w:p>
        </w:tc>
      </w:tr>
      <w:tr>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Partner / Affiliate APIs</w:t>
            </w:r>
          </w:p>
        </w:tc>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Bilateral communication with top 50 partners, sandbox first, then prod canary</w:t>
            </w:r>
          </w:p>
        </w:tc>
        <w:tc>
          <w:tcPr>
            <w:tcW w:type="dxa" w:w="312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Month 10–12</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Fraud &amp; Risk APIs (internal)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Shadow mode parallel run for 8 weeks, ML model inference validated on Kong</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20"/>
                <w:szCs w:val="20"/>
              </w:rPr>
              <w:t xml:space="preserve">Month 10–12</w:t>
            </w:r>
          </w:p>
        </w:tc>
      </w:tr>
    </w:tbl>
    <w:p>
      <w:pPr>
        <w:spacing w:after="80"/>
      </w:pPr>
      <w:r>
        <w:t xml:space="preserve"/>
      </w:r>
    </w:p>
    <w:p>
      <w:pPr>
        <w:spacing w:after="100"/>
      </w:pPr>
      <w:r>
        <w:rPr>
          <w:rFonts w:ascii="Arial" w:cs="Arial" w:eastAsia="Arial" w:hAnsi="Arial"/>
          <w:b/>
          <w:bCs/>
          <w:i w:val="false"/>
          <w:iCs w:val="false"/>
          <w:color w:val="16A34A"/>
          <w:sz w:val="22"/>
          <w:szCs w:val="22"/>
        </w:rPr>
        <w:t xml:space="preserve">✅ Phase 3 Gate: All Tier 1 payment APIs on Kong, PCI-DSS re-assessment passed, 99.99% availability maintained throughout migration.</w:t>
      </w:r>
    </w:p>
    <w:p>
      <w:pPr>
        <w:spacing w:after="200"/>
      </w:pPr>
      <w:r>
        <w:t xml:space="preserve"/>
      </w:r>
    </w:p>
    <w:p>
      <w:pPr>
        <w:pStyle w:val="Heading2"/>
        <w:spacing w:after="120" w:before="300"/>
      </w:pPr>
      <w:r>
        <w:rPr>
          <w:rFonts w:ascii="Arial" w:cs="Arial" w:eastAsia="Arial" w:hAnsi="Arial"/>
          <w:b/>
          <w:bCs/>
          <w:color w:val="1B3A6B"/>
          <w:sz w:val="28"/>
          <w:szCs w:val="28"/>
        </w:rPr>
        <w:t xml:space="preserve">Phase 4: AI Gateway Full Rollout &amp; Legacy Decommission</w:t>
      </w:r>
    </w:p>
    <w:p>
      <w:pPr>
        <w:spacing w:after="100"/>
      </w:pPr>
      <w:r>
        <w:rPr>
          <w:rFonts w:ascii="Arial" w:cs="Arial" w:eastAsia="Arial" w:hAnsi="Arial"/>
          <w:b/>
          <w:bCs/>
          <w:i w:val="false"/>
          <w:iCs w:val="false"/>
          <w:color w:val="2563EB"/>
          <w:sz w:val="22"/>
          <w:szCs w:val="22"/>
        </w:rPr>
        <w:t xml:space="preserve">Duration: Months 12–15  |  Team: Platform Eng + AI/ML Eng + SRE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Workstream</w:t>
            </w:r>
          </w:p>
        </w:tc>
        <w:tc>
          <w:tcPr>
            <w:tcW w:type="dxa" w:w="3120"/>
            <w:tcBorders>
              <w:top w:val="single" w:color="FFFFFF" w:sz="1"/>
              <w:left w:val="single" w:color="FFFFFF" w:sz="1"/>
              <w:bottom w:val="single" w:color="FFFFFF" w:sz="1"/>
              <w:right w:val="single" w:color="FFFFFF"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Deliverables</w:t>
            </w:r>
          </w:p>
        </w:tc>
        <w:tc>
          <w:tcPr>
            <w:tcW w:type="dxa" w:w="3120"/>
            <w:tcBorders>
              <w:top w:val="single" w:color="FFFFFF" w:sz="1"/>
              <w:left w:val="single" w:color="FFFFFF" w:sz="1"/>
              <w:bottom w:val="single" w:color="FFFFFF" w:sz="1"/>
              <w:right w:val="single" w:color="FFFFFF" w:sz="1"/>
            </w:tcBorders>
            <w:shd w:fill="0D948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 Production</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AI Gateway prod rollout, all LLM providers connected, semantic cache live</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12–13</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Prompt Governance Policies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PII detection, content filtering, injection prevention policies enforced in prod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13</w:t>
            </w:r>
          </w:p>
        </w:tc>
      </w:tr>
      <w:tr>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Cost Dashboard</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Per-team token usage, cost attribution dashboards, budget alert automation</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13</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Legacy Gateway Decommission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Traffic drained, configs archived, infrastructure terminated, cost savings realised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13–15</w:t>
            </w:r>
          </w:p>
        </w:tc>
      </w:tr>
      <w:tr>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Developer Portal Enhancement</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AI API catalogue, LLM usage docs, prompt engineering guides, interactive sandbox</w:t>
            </w:r>
          </w:p>
        </w:tc>
        <w:tc>
          <w:tcPr>
            <w:tcW w:type="dxa" w:w="3120"/>
            <w:tcBorders>
              <w:top w:val="single" w:color="E2E8F0" w:sz="1"/>
              <w:left w:val="single" w:color="E2E8F0" w:sz="1"/>
              <w:bottom w:val="single" w:color="E2E8F0" w:sz="1"/>
              <w:right w:val="single" w:color="E2E8F0" w:sz="1"/>
            </w:tcBorders>
            <w:shd w:fill="CCFBF1"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14</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Advanced Plugin Library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Custom payment-specific plugins (idempotency, PCI masking, partner SLA), published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20"/>
                <w:szCs w:val="20"/>
              </w:rPr>
              <w:t xml:space="preserve">Month 14–15</w:t>
            </w:r>
          </w:p>
        </w:tc>
      </w:tr>
    </w:tbl>
    <w:p>
      <w:pPr>
        <w:spacing w:after="80"/>
      </w:pPr>
      <w:r>
        <w:t xml:space="preserve"/>
      </w:r>
    </w:p>
    <w:p>
      <w:pPr>
        <w:spacing w:after="100"/>
      </w:pPr>
      <w:r>
        <w:rPr>
          <w:rFonts w:ascii="Arial" w:cs="Arial" w:eastAsia="Arial" w:hAnsi="Arial"/>
          <w:b/>
          <w:bCs/>
          <w:i w:val="false"/>
          <w:iCs w:val="false"/>
          <w:color w:val="16A34A"/>
          <w:sz w:val="22"/>
          <w:szCs w:val="22"/>
        </w:rPr>
        <w:t xml:space="preserve">✅ Phase 4 Gate: All legacy gateways decommissioned, AI Gateway processing production LLM traffic, cost savings validated.</w:t>
      </w:r>
    </w:p>
    <w:p>
      <w:pPr>
        <w:spacing w:after="200"/>
      </w:pPr>
      <w:r>
        <w:t xml:space="preserve"/>
      </w:r>
    </w:p>
    <w:p>
      <w:pPr>
        <w:pStyle w:val="Heading2"/>
        <w:spacing w:after="120" w:before="300"/>
      </w:pPr>
      <w:r>
        <w:rPr>
          <w:rFonts w:ascii="Arial" w:cs="Arial" w:eastAsia="Arial" w:hAnsi="Arial"/>
          <w:b/>
          <w:bCs/>
          <w:color w:val="1B3A6B"/>
          <w:sz w:val="28"/>
          <w:szCs w:val="28"/>
        </w:rPr>
        <w:t xml:space="preserve">Phase 5: Optimisation &amp; Centre of Excellence</w:t>
      </w:r>
    </w:p>
    <w:p>
      <w:pPr>
        <w:spacing w:after="100"/>
      </w:pPr>
      <w:r>
        <w:rPr>
          <w:rFonts w:ascii="Arial" w:cs="Arial" w:eastAsia="Arial" w:hAnsi="Arial"/>
          <w:b/>
          <w:bCs/>
          <w:i w:val="false"/>
          <w:iCs w:val="false"/>
          <w:color w:val="2563EB"/>
          <w:sz w:val="22"/>
          <w:szCs w:val="22"/>
        </w:rPr>
        <w:t xml:space="preserve">Duration: Months 15–18  |  Team: Platform Eng + Architecture Guild</w:t>
      </w:r>
    </w:p>
    <w:p>
      <w:pPr>
        <w:spacing w:after="80"/>
      </w:pPr>
      <w:r>
        <w:t xml:space="preserve"/>
      </w:r>
    </w:p>
    <w:p>
      <w:pPr>
        <w:spacing w:after="100"/>
      </w:pPr>
      <w:r>
        <w:rPr>
          <w:rFonts w:ascii="Arial" w:cs="Arial" w:eastAsia="Arial" w:hAnsi="Arial"/>
          <w:b w:val="false"/>
          <w:bCs w:val="false"/>
          <w:i/>
          <w:iCs/>
          <w:color w:val="374151"/>
          <w:sz w:val="22"/>
          <w:szCs w:val="22"/>
        </w:rPr>
        <w:t xml:space="preserve">Transition from project mode to product mode. Establish an API Centre of Excellence, drive continuous improvement, and scale the platform for future growth.</w:t>
      </w:r>
    </w:p>
    <w:p>
      <w:pPr>
        <w:spacing w:after="80"/>
      </w:pPr>
      <w:r>
        <w:t xml:space="preserve"/>
      </w:r>
    </w:p>
    <w:p>
      <w:pPr>
        <w:pStyle w:val="ListParagraph"/>
        <w:numPr>
          <w:ilvl w:val="0"/>
          <w:numId w:val="2"/>
        </w:numPr>
        <w:spacing w:after="60"/>
      </w:pPr>
      <w:r>
        <w:rPr>
          <w:rFonts w:ascii="Arial" w:cs="Arial" w:eastAsia="Arial" w:hAnsi="Arial"/>
          <w:color w:val="374151"/>
          <w:sz w:val="22"/>
          <w:szCs w:val="22"/>
        </w:rPr>
        <w:t xml:space="preserve">API Centre of Excellence (CoE) formally established with charter, governance, and quarterly roadmap</w:t>
      </w:r>
    </w:p>
    <w:p>
      <w:pPr>
        <w:pStyle w:val="ListParagraph"/>
        <w:numPr>
          <w:ilvl w:val="0"/>
          <w:numId w:val="2"/>
        </w:numPr>
        <w:spacing w:after="60"/>
      </w:pPr>
      <w:r>
        <w:rPr>
          <w:rFonts w:ascii="Arial" w:cs="Arial" w:eastAsia="Arial" w:hAnsi="Arial"/>
          <w:color w:val="374151"/>
          <w:sz w:val="22"/>
          <w:szCs w:val="22"/>
        </w:rPr>
        <w:t xml:space="preserve">Kong version upgrade automation with zero-downtime rolling upgrades proven</w:t>
      </w:r>
    </w:p>
    <w:p>
      <w:pPr>
        <w:pStyle w:val="ListParagraph"/>
        <w:numPr>
          <w:ilvl w:val="0"/>
          <w:numId w:val="2"/>
        </w:numPr>
        <w:spacing w:after="60"/>
      </w:pPr>
      <w:r>
        <w:rPr>
          <w:rFonts w:ascii="Arial" w:cs="Arial" w:eastAsia="Arial" w:hAnsi="Arial"/>
          <w:color w:val="374151"/>
          <w:sz w:val="22"/>
          <w:szCs w:val="22"/>
        </w:rPr>
        <w:t xml:space="preserve">Custom Kong plugin certification programme for product squads</w:t>
      </w:r>
    </w:p>
    <w:p>
      <w:pPr>
        <w:pStyle w:val="ListParagraph"/>
        <w:numPr>
          <w:ilvl w:val="0"/>
          <w:numId w:val="2"/>
        </w:numPr>
        <w:spacing w:after="60"/>
      </w:pPr>
      <w:r>
        <w:rPr>
          <w:rFonts w:ascii="Arial" w:cs="Arial" w:eastAsia="Arial" w:hAnsi="Arial"/>
          <w:color w:val="374151"/>
          <w:sz w:val="22"/>
          <w:szCs w:val="22"/>
        </w:rPr>
        <w:t xml:space="preserve">API maturity model adopted across all teams (Levels 0–4)</w:t>
      </w:r>
    </w:p>
    <w:p>
      <w:pPr>
        <w:pStyle w:val="ListParagraph"/>
        <w:numPr>
          <w:ilvl w:val="0"/>
          <w:numId w:val="2"/>
        </w:numPr>
        <w:spacing w:after="60"/>
      </w:pPr>
      <w:r>
        <w:rPr>
          <w:rFonts w:ascii="Arial" w:cs="Arial" w:eastAsia="Arial" w:hAnsi="Arial"/>
          <w:color w:val="374151"/>
          <w:sz w:val="22"/>
          <w:szCs w:val="22"/>
        </w:rPr>
        <w:t xml:space="preserve">Service mesh evaluation (Kong Mesh / Istio) for east-west traffic</w:t>
      </w:r>
    </w:p>
    <w:p>
      <w:pPr>
        <w:pStyle w:val="ListParagraph"/>
        <w:numPr>
          <w:ilvl w:val="0"/>
          <w:numId w:val="2"/>
        </w:numPr>
        <w:spacing w:after="60"/>
      </w:pPr>
      <w:r>
        <w:rPr>
          <w:rFonts w:ascii="Arial" w:cs="Arial" w:eastAsia="Arial" w:hAnsi="Arial"/>
          <w:color w:val="374151"/>
          <w:sz w:val="22"/>
          <w:szCs w:val="22"/>
        </w:rPr>
        <w:t xml:space="preserve">Advanced AI capabilities: model A/B testing framework, LLM fine-tuning API support</w:t>
      </w:r>
    </w:p>
    <w:p>
      <w:pPr>
        <w:pStyle w:val="ListParagraph"/>
        <w:numPr>
          <w:ilvl w:val="0"/>
          <w:numId w:val="2"/>
        </w:numPr>
        <w:spacing w:after="60"/>
      </w:pPr>
      <w:r>
        <w:rPr>
          <w:rFonts w:ascii="Arial" w:cs="Arial" w:eastAsia="Arial" w:hAnsi="Arial"/>
          <w:color w:val="374151"/>
          <w:sz w:val="22"/>
          <w:szCs w:val="22"/>
        </w:rPr>
        <w:t xml:space="preserve">External developer ecosystem: public API marketplace, partner self-service onboarding</w:t>
      </w:r>
    </w:p>
    <w:p>
      <w:pPr>
        <w:spacing w:after="80"/>
      </w:pPr>
      <w:r>
        <w:t xml:space="preserve"/>
      </w:r>
    </w:p>
    <w:p>
      <w:pPr>
        <w:spacing w:after="100"/>
      </w:pPr>
      <w:r>
        <w:rPr>
          <w:rFonts w:ascii="Arial" w:cs="Arial" w:eastAsia="Arial" w:hAnsi="Arial"/>
          <w:b/>
          <w:bCs/>
          <w:i w:val="false"/>
          <w:iCs w:val="false"/>
          <w:color w:val="16A34A"/>
          <w:sz w:val="22"/>
          <w:szCs w:val="22"/>
        </w:rPr>
        <w:t xml:space="preserve">✅ Phase 5 Gate: CoE operational, platform NPS &gt; 8, all KPIs in green, 18-month roadmap published.</w:t>
      </w:r>
    </w:p>
    <w:p>
      <w:r>
        <w:br w:type="page"/>
      </w:r>
    </w:p>
    <w:p>
      <w:pPr>
        <w:pStyle w:val="Heading1"/>
        <w:spacing w:after="160" w:before="400"/>
      </w:pPr>
      <w:r>
        <w:rPr>
          <w:rFonts w:ascii="Arial" w:cs="Arial" w:eastAsia="Arial" w:hAnsi="Arial"/>
          <w:b/>
          <w:bCs/>
          <w:color w:val="1B3A6B"/>
          <w:sz w:val="36"/>
          <w:szCs w:val="36"/>
        </w:rPr>
        <w:t xml:space="preserve">6. Governance, Risk &amp; Compliance</w:t>
      </w:r>
    </w:p>
    <w:p>
      <w:pPr>
        <w:pBdr>
          <w:bottom w:val="single" w:color="2563EB" w:sz="6" w:space="1"/>
        </w:pBdr>
        <w:spacing w:after="200"/>
      </w:pPr>
    </w:p>
    <w:p>
      <w:pPr>
        <w:pStyle w:val="Heading2"/>
        <w:spacing w:after="120" w:before="300"/>
      </w:pPr>
      <w:r>
        <w:rPr>
          <w:rFonts w:ascii="Arial" w:cs="Arial" w:eastAsia="Arial" w:hAnsi="Arial"/>
          <w:b/>
          <w:bCs/>
          <w:color w:val="1B3A6B"/>
          <w:sz w:val="28"/>
          <w:szCs w:val="28"/>
        </w:rPr>
        <w:t xml:space="preserve">6.1 Programme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Forum</w:t>
            </w:r>
          </w:p>
        </w:tc>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Cadence</w:t>
            </w:r>
          </w:p>
        </w:tc>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Attendees</w:t>
            </w:r>
          </w:p>
        </w:tc>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Programme Steering Committee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Monthly</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CTO, Heads of Eng, Platform Lead, CISO</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Strategic decisions, budget, escalation resolution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 Guild / Architecture Review</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Bi-weekly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Architects, Platform Lead, Squad Leads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Design reviews, standards, new API approvals, plugin evaluation</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Migration Working Group</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Weekly</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Platform Team, Migrating Squad Leads, SRE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Migration status, blockers, risk review, sequencing adjustments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Ops Sync</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Daily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Platform Team, SRE, On-call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Incident review, SLO status, deployment gate decisions</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6.2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40"/>
        <w:gridCol w:w="1040"/>
        <w:gridCol w:w="1560"/>
        <w:gridCol w:w="3120"/>
      </w:tblGrid>
      <w:tr>
        <w:tc>
          <w:tcPr>
            <w:tcW w:type="dxa" w:w="260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0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0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Rating</w:t>
            </w:r>
          </w:p>
        </w:tc>
        <w:tc>
          <w:tcPr>
            <w:tcW w:type="dxa" w:w="312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Payment API downtime during migration</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Critical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 ● HIGH</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Blue/Green deployment, 8-week shadow phase, instant DNS rollback, 24/7 on-call war room</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PCI-DSS compliance gap on Kong</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Critical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 ● HIGH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Pre-migration PCI assessment, dedicated security review, QSA engagement in Phase 3</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Legacy system dependencies undiscovered</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 ● HIGH</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API dependency mapping sprint before each migration, architecture review gate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Kong platform performance under load</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 ● MEDIUM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Load test to 3x peak before each phase, auto-scaling rules validated, circuit breakers</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Team Kong expertise gap</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 ● MEDIUM</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 training programme, certification sponsorship, embedded Kong SE support (6 months)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 cost overrun</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 ● MEDIUM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Token budget enforcement in gateway, cost alerts, spend caps per consumer</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Legacy gateway vendor lock-in</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Medium</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 ● LOW</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IaC-first approach ensures config portability; decK format is portable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Partner API disruption</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High</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 ● MEDIUM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90-day partner notice, sandbox environment, dedicated migration support channel</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6.3 Compliance &amp;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8"/>
              <w:bottom w:val="none"/>
              <w:right w:val="single" w:color="FEE2E2" w:sz="1"/>
            </w:tcBorders>
            <w:shd w:fill="FEE2E2" w:val="clear"/>
            <w:tcMar>
              <w:top w:type="dxa" w:w="80"/>
              <w:left w:type="dxa" w:w="160"/>
              <w:bottom w:type="dxa" w:w="40"/>
              <w:right w:type="dxa" w:w="160"/>
            </w:tcMar>
          </w:tcPr>
          <w:p>
            <w:r>
              <w:rPr>
                <w:rFonts w:ascii="Arial" w:cs="Arial" w:eastAsia="Arial" w:hAnsi="Arial"/>
                <w:b/>
                <w:bCs/>
                <w:color w:val="DC2626"/>
                <w:sz w:val="22"/>
                <w:szCs w:val="22"/>
              </w:rPr>
              <w:t xml:space="preserve">PCI-DSS &amp; Security Requirements</w:t>
            </w:r>
          </w:p>
        </w:tc>
      </w:tr>
      <w:tr>
        <w:tc>
          <w:tcPr>
            <w:tcW w:type="dxa" w:w="9360"/>
            <w:tcBorders>
              <w:top w:val="none"/>
              <w:left w:val="single" w:color="DC2626" w:sz="8"/>
              <w:bottom w:val="none"/>
              <w:right w:val="single" w:color="FEE2E2" w:sz="1"/>
            </w:tcBorders>
            <w:shd w:fill="FEE2E2" w:val="clear"/>
            <w:tcMar>
              <w:top w:type="dxa" w:w="40"/>
              <w:left w:type="dxa" w:w="180"/>
              <w:bottom w:type="dxa" w:w="20"/>
              <w:right w:type="dxa" w:w="160"/>
            </w:tcMar>
          </w:tcPr>
          <w:p>
            <w:r>
              <w:rPr>
                <w:rFonts w:ascii="Arial" w:cs="Arial" w:eastAsia="Arial" w:hAnsi="Arial"/>
                <w:color w:val="374151"/>
                <w:sz w:val="20"/>
                <w:szCs w:val="20"/>
              </w:rPr>
              <w:t xml:space="preserve">• All cardholder data (CHD) never traverses Kong without TLS 1.3 encryption end-to-end</w:t>
            </w:r>
          </w:p>
        </w:tc>
      </w:tr>
      <w:tr>
        <w:tc>
          <w:tcPr>
            <w:tcW w:type="dxa" w:w="9360"/>
            <w:tcBorders>
              <w:top w:val="none"/>
              <w:left w:val="single" w:color="DC2626" w:sz="8"/>
              <w:bottom w:val="none"/>
              <w:right w:val="single" w:color="FEE2E2" w:sz="1"/>
            </w:tcBorders>
            <w:shd w:fill="FEE2E2" w:val="clear"/>
            <w:tcMar>
              <w:top w:type="dxa" w:w="40"/>
              <w:left w:type="dxa" w:w="180"/>
              <w:bottom w:type="dxa" w:w="20"/>
              <w:right w:type="dxa" w:w="160"/>
            </w:tcMar>
          </w:tcPr>
          <w:p>
            <w:r>
              <w:rPr>
                <w:rFonts w:ascii="Arial" w:cs="Arial" w:eastAsia="Arial" w:hAnsi="Arial"/>
                <w:color w:val="374151"/>
                <w:sz w:val="20"/>
                <w:szCs w:val="20"/>
              </w:rPr>
              <w:t xml:space="preserve">• Kong plugin configuration undergoes mandatory security review for any API in PCI scope</w:t>
            </w:r>
          </w:p>
        </w:tc>
      </w:tr>
      <w:tr>
        <w:tc>
          <w:tcPr>
            <w:tcW w:type="dxa" w:w="9360"/>
            <w:tcBorders>
              <w:top w:val="none"/>
              <w:left w:val="single" w:color="DC2626" w:sz="8"/>
              <w:bottom w:val="none"/>
              <w:right w:val="single" w:color="FEE2E2" w:sz="1"/>
            </w:tcBorders>
            <w:shd w:fill="FEE2E2" w:val="clear"/>
            <w:tcMar>
              <w:top w:type="dxa" w:w="40"/>
              <w:left w:type="dxa" w:w="180"/>
              <w:bottom w:type="dxa" w:w="20"/>
              <w:right w:type="dxa" w:w="160"/>
            </w:tcMar>
          </w:tcPr>
          <w:p>
            <w:r>
              <w:rPr>
                <w:rFonts w:ascii="Arial" w:cs="Arial" w:eastAsia="Arial" w:hAnsi="Arial"/>
                <w:color w:val="374151"/>
                <w:sz w:val="20"/>
                <w:szCs w:val="20"/>
              </w:rPr>
              <w:t xml:space="preserve">• Secrets (API keys, certs, tokens) managed exclusively via HashiCorp Vault — never in Kong config</w:t>
            </w:r>
          </w:p>
        </w:tc>
      </w:tr>
      <w:tr>
        <w:tc>
          <w:tcPr>
            <w:tcW w:type="dxa" w:w="9360"/>
            <w:tcBorders>
              <w:top w:val="none"/>
              <w:left w:val="single" w:color="DC2626" w:sz="8"/>
              <w:bottom w:val="none"/>
              <w:right w:val="single" w:color="FEE2E2" w:sz="1"/>
            </w:tcBorders>
            <w:shd w:fill="FEE2E2" w:val="clear"/>
            <w:tcMar>
              <w:top w:type="dxa" w:w="40"/>
              <w:left w:type="dxa" w:w="180"/>
              <w:bottom w:type="dxa" w:w="20"/>
              <w:right w:type="dxa" w:w="160"/>
            </w:tcMar>
          </w:tcPr>
          <w:p>
            <w:r>
              <w:rPr>
                <w:rFonts w:ascii="Arial" w:cs="Arial" w:eastAsia="Arial" w:hAnsi="Arial"/>
                <w:color w:val="374151"/>
                <w:sz w:val="20"/>
                <w:szCs w:val="20"/>
              </w:rPr>
              <w:t xml:space="preserve">• All Kong access logs forwarded to SIEM within 5 seconds; retained for 12 months minimum</w:t>
            </w:r>
          </w:p>
        </w:tc>
      </w:tr>
      <w:tr>
        <w:tc>
          <w:tcPr>
            <w:tcW w:type="dxa" w:w="9360"/>
            <w:tcBorders>
              <w:top w:val="none"/>
              <w:left w:val="single" w:color="DC2626" w:sz="8"/>
              <w:bottom w:val="none"/>
              <w:right w:val="single" w:color="FEE2E2" w:sz="1"/>
            </w:tcBorders>
            <w:shd w:fill="FEE2E2" w:val="clear"/>
            <w:tcMar>
              <w:top w:type="dxa" w:w="40"/>
              <w:left w:type="dxa" w:w="180"/>
              <w:bottom w:type="dxa" w:w="20"/>
              <w:right w:type="dxa" w:w="160"/>
            </w:tcMar>
          </w:tcPr>
          <w:p>
            <w:r>
              <w:rPr>
                <w:rFonts w:ascii="Arial" w:cs="Arial" w:eastAsia="Arial" w:hAnsi="Arial"/>
                <w:color w:val="374151"/>
                <w:sz w:val="20"/>
                <w:szCs w:val="20"/>
              </w:rPr>
              <w:t xml:space="preserve">• mTLS enforced between Kong Data Plane nodes and all upstream payment services</w:t>
            </w:r>
          </w:p>
        </w:tc>
      </w:tr>
      <w:tr>
        <w:tc>
          <w:tcPr>
            <w:tcW w:type="dxa" w:w="9360"/>
            <w:tcBorders>
              <w:top w:val="none"/>
              <w:left w:val="single" w:color="DC2626" w:sz="8"/>
              <w:bottom w:val="none"/>
              <w:right w:val="single" w:color="FEE2E2" w:sz="1"/>
            </w:tcBorders>
            <w:shd w:fill="FEE2E2" w:val="clear"/>
            <w:tcMar>
              <w:top w:type="dxa" w:w="40"/>
              <w:left w:type="dxa" w:w="180"/>
              <w:bottom w:type="dxa" w:w="20"/>
              <w:right w:type="dxa" w:w="160"/>
            </w:tcMar>
          </w:tcPr>
          <w:p>
            <w:r>
              <w:rPr>
                <w:rFonts w:ascii="Arial" w:cs="Arial" w:eastAsia="Arial" w:hAnsi="Arial"/>
                <w:color w:val="374151"/>
                <w:sz w:val="20"/>
                <w:szCs w:val="20"/>
              </w:rPr>
              <w:t xml:space="preserve">• Annual penetration test of Kong platform + quarterly OWASP API Top 10 scan</w:t>
            </w:r>
          </w:p>
        </w:tc>
      </w:tr>
      <w:tr>
        <w:tc>
          <w:tcPr>
            <w:tcW w:type="dxa" w:w="9360"/>
            <w:tcBorders>
              <w:top w:val="none"/>
              <w:left w:val="single" w:color="DC2626" w:sz="8"/>
              <w:bottom w:val="none"/>
              <w:right w:val="single" w:color="FEE2E2" w:sz="1"/>
            </w:tcBorders>
            <w:shd w:fill="FEE2E2" w:val="clear"/>
            <w:tcMar>
              <w:top w:type="dxa" w:w="40"/>
              <w:left w:type="dxa" w:w="180"/>
              <w:bottom w:type="dxa" w:w="20"/>
              <w:right w:type="dxa" w:w="160"/>
            </w:tcMar>
          </w:tcPr>
          <w:p>
            <w:r>
              <w:rPr>
                <w:rFonts w:ascii="Arial" w:cs="Arial" w:eastAsia="Arial" w:hAnsi="Arial"/>
                <w:color w:val="374151"/>
                <w:sz w:val="20"/>
                <w:szCs w:val="20"/>
              </w:rPr>
              <w:t xml:space="preserve">• WAF rules reviewed and updated monthly; emergency rule deployment &lt; 2 hours SLA</w:t>
            </w:r>
          </w:p>
        </w:tc>
      </w:tr>
      <w:tr>
        <w:tc>
          <w:tcPr>
            <w:tcW w:type="dxa" w:w="9360"/>
            <w:tcBorders>
              <w:top w:val="none"/>
              <w:left w:val="single" w:color="DC2626" w:sz="8"/>
              <w:bottom w:val="single" w:color="DC2626" w:sz="1"/>
              <w:right w:val="single" w:color="FEE2E2" w:sz="1"/>
            </w:tcBorders>
            <w:shd w:fill="FEE2E2" w:val="clear"/>
            <w:tcMar>
              <w:top w:type="dxa" w:w="40"/>
              <w:left w:type="dxa" w:w="180"/>
              <w:bottom w:type="dxa" w:w="80"/>
              <w:right w:type="dxa" w:w="160"/>
            </w:tcMar>
          </w:tcPr>
          <w:p>
            <w:r>
              <w:rPr>
                <w:rFonts w:ascii="Arial" w:cs="Arial" w:eastAsia="Arial" w:hAnsi="Arial"/>
                <w:color w:val="374151"/>
                <w:sz w:val="20"/>
                <w:szCs w:val="20"/>
              </w:rPr>
              <w:t xml:space="preserve">• Kong Admin API access restricted to platform team via VPN + MFA + audit logging</w:t>
            </w:r>
          </w:p>
        </w:tc>
      </w:tr>
    </w:tbl>
    <w:p>
      <w:r>
        <w:br w:type="page"/>
      </w:r>
    </w:p>
    <w:p>
      <w:pPr>
        <w:pStyle w:val="Heading1"/>
        <w:spacing w:after="160" w:before="400"/>
      </w:pPr>
      <w:r>
        <w:rPr>
          <w:rFonts w:ascii="Arial" w:cs="Arial" w:eastAsia="Arial" w:hAnsi="Arial"/>
          <w:b/>
          <w:bCs/>
          <w:color w:val="1B3A6B"/>
          <w:sz w:val="36"/>
          <w:szCs w:val="36"/>
        </w:rPr>
        <w:t xml:space="preserve">7. Success Metrics &amp; KPIs</w:t>
      </w:r>
    </w:p>
    <w:p>
      <w:pPr>
        <w:pBdr>
          <w:bottom w:val="single" w:color="2563EB" w:sz="6" w:space="1"/>
        </w:pBdr>
        <w:spacing w:after="200"/>
      </w:pPr>
    </w:p>
    <w:p>
      <w:pPr>
        <w:pStyle w:val="Heading2"/>
        <w:spacing w:after="120" w:before="300"/>
      </w:pPr>
      <w:r>
        <w:rPr>
          <w:rFonts w:ascii="Arial" w:cs="Arial" w:eastAsia="Arial" w:hAnsi="Arial"/>
          <w:b/>
          <w:bCs/>
          <w:color w:val="1B3A6B"/>
          <w:sz w:val="28"/>
          <w:szCs w:val="28"/>
        </w:rPr>
        <w:t xml:space="preserve">7.1 Platform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(6M)</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(18M)</w:t>
            </w:r>
          </w:p>
        </w:tc>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 Gateway Availability</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99.95%</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99.98%</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99.99%</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Uptime monitoring / Grafana SLO dashboard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P95 API Latency (added)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&lt; 15ms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&lt; 10ms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Jaeger trace percentiles on Kong DP</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APIs on Kong Platform</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30+</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100%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Kong Admin API / Konnect analytics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 Onboarding Time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2–4 weeks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&lt; 5 days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&lt; 2 days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Ticket-to-live duration (Jira)</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Legacy Gateways Active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5–7</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&lt; 3</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Infrastructure inventory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Security Incidents (API)</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Baseline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−30%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−60%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SIEM incident count (API category)</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Developer Portal NPS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&gt; 6</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&gt; 8</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Quarterly developer satisfaction survey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Gateway — Token Cost</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Baseline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−20% (cache)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−40%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Token usage vs. spend from AI Gateway analytics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TCO Reduction</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Baseline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−15%</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−45%</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FinOps cost tracking vs. previous year</w:t>
            </w:r>
          </w:p>
        </w:tc>
      </w:tr>
    </w:tbl>
    <w:p>
      <w:r>
        <w:br w:type="page"/>
      </w:r>
    </w:p>
    <w:p>
      <w:pPr>
        <w:pStyle w:val="Heading1"/>
        <w:spacing w:after="160" w:before="400"/>
      </w:pPr>
      <w:r>
        <w:rPr>
          <w:rFonts w:ascii="Arial" w:cs="Arial" w:eastAsia="Arial" w:hAnsi="Arial"/>
          <w:b/>
          <w:bCs/>
          <w:color w:val="1B3A6B"/>
          <w:sz w:val="36"/>
          <w:szCs w:val="36"/>
        </w:rPr>
        <w:t xml:space="preserve">8. Resource Plan &amp; Budget Estimate</w:t>
      </w:r>
    </w:p>
    <w:p>
      <w:pPr>
        <w:pBdr>
          <w:bottom w:val="single" w:color="2563EB" w:sz="6" w:space="1"/>
        </w:pBdr>
        <w:spacing w:after="200"/>
      </w:pPr>
    </w:p>
    <w:p>
      <w:pPr>
        <w:pStyle w:val="Heading2"/>
        <w:spacing w:after="120" w:before="300"/>
      </w:pPr>
      <w:r>
        <w:rPr>
          <w:rFonts w:ascii="Arial" w:cs="Arial" w:eastAsia="Arial" w:hAnsi="Arial"/>
          <w:b/>
          <w:bCs/>
          <w:color w:val="1B3A6B"/>
          <w:sz w:val="28"/>
          <w:szCs w:val="28"/>
        </w:rPr>
        <w:t xml:space="preserve">8.1 Team Resourcing (FTEs)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40"/>
        <w:gridCol w:w="1040"/>
        <w:gridCol w:w="1040"/>
        <w:gridCol w:w="1040"/>
        <w:gridCol w:w="2400"/>
      </w:tblGrid>
      <w:tr>
        <w:tc>
          <w:tcPr>
            <w:tcW w:type="dxa" w:w="280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10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Ph1</w:t>
            </w:r>
          </w:p>
        </w:tc>
        <w:tc>
          <w:tcPr>
            <w:tcW w:type="dxa" w:w="10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Ph2</w:t>
            </w:r>
          </w:p>
        </w:tc>
        <w:tc>
          <w:tcPr>
            <w:tcW w:type="dxa" w:w="10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Ph3</w:t>
            </w:r>
          </w:p>
        </w:tc>
        <w:tc>
          <w:tcPr>
            <w:tcW w:type="dxa" w:w="10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Ph4–5</w:t>
            </w:r>
          </w:p>
        </w:tc>
        <w:tc>
          <w:tcPr>
            <w:tcW w:type="dxa" w:w="240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Platform Engineer (Kong SME)</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3</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1x external Kong SE for 6M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SRE / Platform Ops</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3</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On-call responsibility from Phase 2</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Security Engineer</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0.5</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PCI focus in Phase 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API Architect</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Architecture Guild lead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AI/ML Gateway Engineer</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0.5</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Increases for AI Gateway Phase 4</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DevOps / IaC Engineer</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Terraform + ArgoCD ownership</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Product Manager (Platform)</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0.5</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Portal + developer experience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Scrum Master / Programme Mgr</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Programme governance, reporting</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8.2 Budget Estimate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1560"/>
        <w:gridCol w:w="2340"/>
      </w:tblGrid>
      <w:tr>
        <w:tc>
          <w:tcPr>
            <w:tcW w:type="dxa" w:w="390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Budget Category</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2 (6M)</w:t>
            </w:r>
          </w:p>
        </w:tc>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Kong Konnect Enterprise Licence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$180K</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$90K</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Annual licence, enterprise tier</w:t>
            </w:r>
          </w:p>
        </w:tc>
      </w:tr>
      <w:tr>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Infrastructure (EKS, networking)</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$240K</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$120K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Kong DP clusters, dedicated node pools</w:t>
            </w:r>
          </w:p>
        </w:tc>
      </w:tr>
      <w:tr>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External Consulting (Kong SE)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$120K</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6-month embedded Kong SME</w:t>
            </w:r>
          </w:p>
        </w:tc>
      </w:tr>
      <w:tr>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Training &amp; Certification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$40K</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$20K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Kong Certified Developer programme</w:t>
            </w:r>
          </w:p>
        </w:tc>
      </w:tr>
      <w:tr>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Security &amp; Compliance (QSA, pentest)</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$80K</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$40K</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PCI QSA engagement, pen tests</w:t>
            </w:r>
          </w:p>
        </w:tc>
      </w:tr>
      <w:tr>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Developer Portal &amp; Tooling</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$60K</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$30K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Portal customisation, documentation tools</w:t>
            </w:r>
          </w:p>
        </w:tc>
      </w:tr>
      <w:tr>
        <w:tc>
          <w:tcPr>
            <w:tcW w:type="dxa" w:w="3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Migration Engineering (FTE cost)</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$800K</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$400K</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Platform team + embedded squad time</w:t>
            </w:r>
          </w:p>
        </w:tc>
      </w:tr>
      <w:tr>
        <w:tc>
          <w:tcPr>
            <w:tcW w:type="dxa" w:w="3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Contingency (15%)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$228K</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$105K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Risk buffer for scope changes</w:t>
            </w:r>
          </w:p>
        </w:tc>
      </w:tr>
      <w:tr>
        <w:tc>
          <w:tcPr>
            <w:tcW w:type="dxa" w:w="390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PROGRAMME BUDGET</w:t>
            </w:r>
          </w:p>
        </w:tc>
        <w:tc>
          <w:tcPr>
            <w:tcW w:type="dxa" w:w="1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~$1.75M</w:t>
            </w:r>
          </w:p>
        </w:tc>
        <w:tc>
          <w:tcPr>
            <w:tcW w:type="dxa" w:w="1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~$805K</w:t>
            </w:r>
          </w:p>
        </w:tc>
        <w:tc>
          <w:tcPr>
            <w:tcW w:type="dxa" w:w="2340"/>
            <w:tcBorders>
              <w:top w:val="single" w:color="E2E8F0" w:sz="1"/>
              <w:left w:val="single" w:color="E2E8F0" w:sz="1"/>
              <w:bottom w:val="single" w:color="E2E8F0" w:sz="1"/>
              <w:right w:val="single" w:color="E2E8F0"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TCO saving: &gt;$2.1M over 3 years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8"/>
              <w:bottom w:val="none"/>
              <w:right w:val="single" w:color="DCFCE7" w:sz="1"/>
            </w:tcBorders>
            <w:shd w:fill="DCFCE7" w:val="clear"/>
            <w:tcMar>
              <w:top w:type="dxa" w:w="80"/>
              <w:left w:type="dxa" w:w="160"/>
              <w:bottom w:type="dxa" w:w="40"/>
              <w:right w:type="dxa" w:w="160"/>
            </w:tcMar>
          </w:tcPr>
          <w:p>
            <w:r>
              <w:rPr>
                <w:rFonts w:ascii="Arial" w:cs="Arial" w:eastAsia="Arial" w:hAnsi="Arial"/>
                <w:b/>
                <w:bCs/>
                <w:color w:val="16A34A"/>
                <w:sz w:val="22"/>
                <w:szCs w:val="22"/>
              </w:rPr>
              <w:t xml:space="preserve">Expected Cost Savings vs. Investment</w:t>
            </w:r>
          </w:p>
        </w:tc>
      </w:tr>
      <w:tr>
        <w:tc>
          <w:tcPr>
            <w:tcW w:type="dxa" w:w="9360"/>
            <w:tcBorders>
              <w:top w:val="none"/>
              <w:left w:val="single" w:color="16A34A" w:sz="8"/>
              <w:bottom w:val="none"/>
              <w:right w:val="single" w:color="DCFCE7" w:sz="1"/>
            </w:tcBorders>
            <w:shd w:fill="DCFCE7" w:val="clear"/>
            <w:tcMar>
              <w:top w:type="dxa" w:w="40"/>
              <w:left w:type="dxa" w:w="180"/>
              <w:bottom w:type="dxa" w:w="20"/>
              <w:right w:type="dxa" w:w="160"/>
            </w:tcMar>
          </w:tcPr>
          <w:p>
            <w:r>
              <w:rPr>
                <w:rFonts w:ascii="Arial" w:cs="Arial" w:eastAsia="Arial" w:hAnsi="Arial"/>
                <w:color w:val="374151"/>
                <w:sz w:val="20"/>
                <w:szCs w:val="20"/>
              </w:rPr>
              <w:t xml:space="preserve">• Legacy gateway licence elimination: ~$300K/year saved from Year 2</w:t>
            </w:r>
          </w:p>
        </w:tc>
      </w:tr>
      <w:tr>
        <w:tc>
          <w:tcPr>
            <w:tcW w:type="dxa" w:w="9360"/>
            <w:tcBorders>
              <w:top w:val="none"/>
              <w:left w:val="single" w:color="16A34A" w:sz="8"/>
              <w:bottom w:val="none"/>
              <w:right w:val="single" w:color="DCFCE7" w:sz="1"/>
            </w:tcBorders>
            <w:shd w:fill="DCFCE7" w:val="clear"/>
            <w:tcMar>
              <w:top w:type="dxa" w:w="40"/>
              <w:left w:type="dxa" w:w="180"/>
              <w:bottom w:type="dxa" w:w="20"/>
              <w:right w:type="dxa" w:w="160"/>
            </w:tcMar>
          </w:tcPr>
          <w:p>
            <w:r>
              <w:rPr>
                <w:rFonts w:ascii="Arial" w:cs="Arial" w:eastAsia="Arial" w:hAnsi="Arial"/>
                <w:color w:val="374151"/>
                <w:sz w:val="20"/>
                <w:szCs w:val="20"/>
              </w:rPr>
              <w:t xml:space="preserve">• Infrastructure consolidation: ~$200K/year from decommissioning redundant infrastructure</w:t>
            </w:r>
          </w:p>
        </w:tc>
      </w:tr>
      <w:tr>
        <w:tc>
          <w:tcPr>
            <w:tcW w:type="dxa" w:w="9360"/>
            <w:tcBorders>
              <w:top w:val="none"/>
              <w:left w:val="single" w:color="16A34A" w:sz="8"/>
              <w:bottom w:val="none"/>
              <w:right w:val="single" w:color="DCFCE7" w:sz="1"/>
            </w:tcBorders>
            <w:shd w:fill="DCFCE7" w:val="clear"/>
            <w:tcMar>
              <w:top w:type="dxa" w:w="40"/>
              <w:left w:type="dxa" w:w="180"/>
              <w:bottom w:type="dxa" w:w="20"/>
              <w:right w:type="dxa" w:w="160"/>
            </w:tcMar>
          </w:tcPr>
          <w:p>
            <w:r>
              <w:rPr>
                <w:rFonts w:ascii="Arial" w:cs="Arial" w:eastAsia="Arial" w:hAnsi="Arial"/>
                <w:color w:val="374151"/>
                <w:sz w:val="20"/>
                <w:szCs w:val="20"/>
              </w:rPr>
              <w:t xml:space="preserve">• Reduced operational overhead (automation): ~$400K/year in engineering time savings</w:t>
            </w:r>
          </w:p>
        </w:tc>
      </w:tr>
      <w:tr>
        <w:tc>
          <w:tcPr>
            <w:tcW w:type="dxa" w:w="9360"/>
            <w:tcBorders>
              <w:top w:val="none"/>
              <w:left w:val="single" w:color="16A34A" w:sz="8"/>
              <w:bottom w:val="none"/>
              <w:right w:val="single" w:color="DCFCE7" w:sz="1"/>
            </w:tcBorders>
            <w:shd w:fill="DCFCE7" w:val="clear"/>
            <w:tcMar>
              <w:top w:type="dxa" w:w="40"/>
              <w:left w:type="dxa" w:w="180"/>
              <w:bottom w:type="dxa" w:w="20"/>
              <w:right w:type="dxa" w:w="160"/>
            </w:tcMar>
          </w:tcPr>
          <w:p>
            <w:r>
              <w:rPr>
                <w:rFonts w:ascii="Arial" w:cs="Arial" w:eastAsia="Arial" w:hAnsi="Arial"/>
                <w:color w:val="374151"/>
                <w:sz w:val="20"/>
                <w:szCs w:val="20"/>
              </w:rPr>
              <w:t xml:space="preserve">• AI Gateway semantic caching: ~$150K/year in LLM API cost reduction</w:t>
            </w:r>
          </w:p>
        </w:tc>
      </w:tr>
      <w:tr>
        <w:tc>
          <w:tcPr>
            <w:tcW w:type="dxa" w:w="9360"/>
            <w:tcBorders>
              <w:top w:val="none"/>
              <w:left w:val="single" w:color="16A34A" w:sz="8"/>
              <w:bottom w:val="single" w:color="16A34A" w:sz="1"/>
              <w:right w:val="single" w:color="DCFCE7" w:sz="1"/>
            </w:tcBorders>
            <w:shd w:fill="DCFCE7" w:val="clear"/>
            <w:tcMar>
              <w:top w:type="dxa" w:w="40"/>
              <w:left w:type="dxa" w:w="180"/>
              <w:bottom w:type="dxa" w:w="80"/>
              <w:right w:type="dxa" w:w="160"/>
            </w:tcMar>
          </w:tcPr>
          <w:p>
            <w:r>
              <w:rPr>
                <w:rFonts w:ascii="Arial" w:cs="Arial" w:eastAsia="Arial" w:hAnsi="Arial"/>
                <w:color w:val="374151"/>
                <w:sz w:val="20"/>
                <w:szCs w:val="20"/>
              </w:rPr>
              <w:t xml:space="preserve">• Total estimated 3-year NPV: +$1.8M (payback in ~18 months post-migration completion)</w:t>
            </w:r>
          </w:p>
        </w:tc>
      </w:tr>
    </w:tbl>
    <w:p>
      <w:r>
        <w:br w:type="page"/>
      </w:r>
    </w:p>
    <w:p>
      <w:pPr>
        <w:pStyle w:val="Heading1"/>
        <w:spacing w:after="160" w:before="400"/>
      </w:pPr>
      <w:r>
        <w:rPr>
          <w:rFonts w:ascii="Arial" w:cs="Arial" w:eastAsia="Arial" w:hAnsi="Arial"/>
          <w:b/>
          <w:bCs/>
          <w:color w:val="1B3A6B"/>
          <w:sz w:val="36"/>
          <w:szCs w:val="36"/>
        </w:rPr>
        <w:t xml:space="preserve">9. Appendix — Quick Reference</w:t>
      </w:r>
    </w:p>
    <w:p>
      <w:pPr>
        <w:pBdr>
          <w:bottom w:val="single" w:color="2563EB" w:sz="6" w:space="1"/>
        </w:pBdr>
        <w:spacing w:after="200"/>
      </w:pPr>
    </w:p>
    <w:p>
      <w:pPr>
        <w:pStyle w:val="Heading2"/>
        <w:spacing w:after="120" w:before="300"/>
      </w:pPr>
      <w:r>
        <w:rPr>
          <w:rFonts w:ascii="Arial" w:cs="Arial" w:eastAsia="Arial" w:hAnsi="Arial"/>
          <w:b/>
          <w:bCs/>
          <w:color w:val="1B3A6B"/>
          <w:sz w:val="28"/>
          <w:szCs w:val="28"/>
        </w:rPr>
        <w:t xml:space="preserve">9.1 Kong Plugin Stack — Paysafe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Plugin</w:t>
            </w:r>
          </w:p>
        </w:tc>
        <w:tc>
          <w:tcPr>
            <w:tcW w:type="dxa" w:w="1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w:t>
            </w:r>
          </w:p>
        </w:tc>
        <w:tc>
          <w:tcPr>
            <w:tcW w:type="dxa" w:w="312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Configuration Notes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OIDC</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Auth</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OAuth 2.0 / OIDC authentication</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Keycloak / Azure AD integration, token introspection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mTLS Auth</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Auth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Service-to-service mutual TLS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Required for all payment upstream services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Rate Limiting Advanced</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Traffic</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Per-consumer rate limiting with Redis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Redis Cluster for distributed counters, 99th percentile tracking</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Request Validator</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Validation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OAS 3.x schema validation at gateway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Block invalid payloads before hitting services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Response Transformer</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Transform</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Add/remove/rename response headers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PCI data masking, PAN tokenisation response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Correlation ID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Observability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Inject X-Request-ID header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UUID v4, propagated to all upstreams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Prometheus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Observability</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Expose Kong metrics for scraping</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Latency histograms, status code counters, upstream health</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OpenTelemetry</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Observability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Distributed tracing headers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Jaeger/Tempo backend, W3C trace context</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Proxy</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AI</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LLM provider routing and management</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Multi-provider, fallback chain, token tracking</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AI Semantic Cache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AI</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Cache LLM responses by semantic match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Cosine similarity threshold 0.92, TTL 3600s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Canary Release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Deployment</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Traffic splitting for canary deploys</w:t>
            </w:r>
          </w:p>
        </w:tc>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Weight-based, header override for QA team</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IP Restriction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Security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Allow/deny by IP/CIDR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7280"/>
                <w:sz w:val="20"/>
                <w:szCs w:val="20"/>
              </w:rPr>
              <w:t xml:space="preserve">Partner API allowlists, admin endpoint lockdown</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9.2 Key Contacts &amp;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34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Escalation Level</w:t>
            </w:r>
          </w:p>
        </w:tc>
        <w:tc>
          <w:tcPr>
            <w:tcW w:type="dxa" w:w="468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On-Call SRE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Level 1 — Initial response</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First responder for all platform incidents; owns incident channel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Platform Engineering Lead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Level 2 — Escalation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Technical decisions, rollback authorisation, partner communication</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Head of Platform Engineering</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Level 3 — Major incidents</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Stakeholder comms, P1 war room ownership, vendor escalation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CTO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Level 4 — Business critical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Executive decisions, partner/regulatory communication, budget unlocking</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Kong Support (Enterprise)</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2563EB"/>
                <w:sz w:val="20"/>
                <w:szCs w:val="20"/>
              </w:rPr>
              <w:t xml:space="preserve">Vendor escalation</w:t>
            </w:r>
          </w:p>
        </w:tc>
        <w:tc>
          <w:tcPr>
            <w:tcW w:type="dxa" w:w="46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Kong-specific bugs, performance issues, licence concerns</w:t>
            </w:r>
          </w:p>
        </w:tc>
      </w:tr>
    </w:tbl>
    <w:p>
      <w:pPr>
        <w:spacing w:after="200"/>
      </w:pPr>
      <w:r>
        <w:t xml:space="preserve"/>
      </w:r>
    </w:p>
    <w:p>
      <w:pPr>
        <w:pStyle w:val="Heading2"/>
        <w:spacing w:after="120" w:before="300"/>
      </w:pPr>
      <w:r>
        <w:rPr>
          <w:rFonts w:ascii="Arial" w:cs="Arial" w:eastAsia="Arial" w:hAnsi="Arial"/>
          <w:b/>
          <w:bCs/>
          <w:color w:val="1B3A6B"/>
          <w:sz w:val="28"/>
          <w:szCs w:val="28"/>
        </w:rPr>
        <w:t xml:space="preserve">9.3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7560"/>
            <w:tcBorders>
              <w:top w:val="single" w:color="FFFFFF" w:sz="1"/>
              <w:left w:val="single" w:color="FFFFFF" w:sz="1"/>
              <w:bottom w:val="single" w:color="FFFFFF" w:sz="1"/>
              <w:right w:val="single" w:color="FFFFFF" w:sz="1"/>
            </w:tcBorders>
            <w:shd w:fill="1E293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decK</w:t>
            </w:r>
          </w:p>
        </w:tc>
        <w:tc>
          <w:tcPr>
            <w:tcW w:type="dxa" w:w="7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Declarative Configuration for Kong — CLI tool for managing Kong config as YAML/JSON in version control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DP</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Data Plane — Kong component that handles live API traffic; connects to Control Plane for config</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CP</w:t>
            </w:r>
          </w:p>
        </w:tc>
        <w:tc>
          <w:tcPr>
            <w:tcW w:type="dxa" w:w="7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Control Plane — Kong Konnect SaaS that stores config and pushes to Data Plane nodes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Konnect</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Kong's SaaS platform providing managed Control Plane, Developer Portal, and analytics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OAS</w:t>
            </w:r>
          </w:p>
        </w:tc>
        <w:tc>
          <w:tcPr>
            <w:tcW w:type="dxa" w:w="7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OpenAPI Specification (v3.x) — standard for describing REST APIs; required for all Paysafe APIs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PCI-DSS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Payment Card Industry Data Security Standard — compliance framework mandatory for Paysafe payment APIs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Semantic Cache</w:t>
            </w:r>
          </w:p>
        </w:tc>
        <w:tc>
          <w:tcPr>
            <w:tcW w:type="dxa" w:w="7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AI feature: caches LLM responses based on meaning-similarity of prompts, not exact text match</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Strangler Fig</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Migration pattern: incrementally replace a legacy system by routing traffic to new system over time</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SLO</w:t>
            </w:r>
          </w:p>
        </w:tc>
        <w:tc>
          <w:tcPr>
            <w:tcW w:type="dxa" w:w="7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Service Level Objective — measurable target (e.g. 99.99% availability, P95 &lt; 50ms latency)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mTLS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Mutual TLS — both client and server authenticate each other via certificates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spacing w:before="60"/>
    </w:pPr>
    <w:r>
      <w:rPr>
        <w:rFonts w:ascii="Arial" w:cs="Arial" w:eastAsia="Arial" w:hAnsi="Arial"/>
        <w:color w:val="6B7280"/>
        <w:sz w:val="16"/>
        <w:szCs w:val="16"/>
      </w:rPr>
      <w:t xml:space="preserve">© Paysafe Group  |  Internal Use Only  |  v1.0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60"/>
    </w:pPr>
    <w:r>
      <w:rPr>
        <w:rFonts w:ascii="Arial" w:cs="Arial" w:eastAsia="Arial" w:hAnsi="Arial"/>
        <w:b/>
        <w:bCs/>
        <w:color w:val="1B3A6B"/>
        <w:sz w:val="18"/>
        <w:szCs w:val="18"/>
      </w:rPr>
      <w:t xml:space="preserve">PAYSAFE  |  Kong API &amp; AI Gateway Adoption Plan</w:t>
    </w:r>
    <w:r>
      <w:rPr>
        <w:rFonts w:ascii="Arial" w:cs="Arial" w:eastAsia="Arial" w:hAnsi="Arial"/>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2026-06-14T20:29:56.340Z</dcterms:created>
  <dcterms:modified xsi:type="dcterms:W3CDTF">2026-06-14T20:29:56.340Z</dcterms:modified>
</cp:coreProperties>
</file>

<file path=docProps/custom.xml><?xml version="1.0" encoding="utf-8"?>
<Properties xmlns="http://schemas.openxmlformats.org/officeDocument/2006/custom-properties" xmlns:vt="http://schemas.openxmlformats.org/officeDocument/2006/docPropsVTypes"/>
</file>