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맑은 고딕" w:hAnsi="맑은 고딕" w:eastAsia="맑은 고딕"/>
          <w:b/>
          <w:color w:val="1E2761"/>
          <w:sz w:val="32"/>
        </w:rPr>
        <w:t>비나법인 원가결산 — 투입비용 배부 흐름 화면 설명 시나리오</w:t>
      </w:r>
    </w:p>
    <w:p>
      <w:pPr>
        <w:spacing w:before="40" w:after="120"/>
      </w:pPr>
      <w:r>
        <w:rPr>
          <w:rFonts w:ascii="맑은 고딕" w:hAnsi="맑은 고딕" w:eastAsia="맑은 고딕"/>
          <w:b w:val="0"/>
          <w:color w:val="666666"/>
          <w:sz w:val="21"/>
        </w:rPr>
        <w:t>제품별 원가 배부(가공비·재료비) 과정을 시스템 화면으로 단계별 설명 · 대상월 202605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1. 문서 목적 및 데모 개요</w:t>
      </w:r>
    </w:p>
    <w:p>
      <w:pPr>
        <w:spacing w:after="20"/>
        <w:ind w:left="283"/>
      </w:pPr>
      <w:r>
        <w:rPr>
          <w:rFonts w:ascii="맑은 고딕" w:hAnsi="맑은 고딕" w:eastAsia="맑은 고딕"/>
          <w:b/>
          <w:color w:val="1E2761"/>
          <w:sz w:val="20"/>
        </w:rPr>
        <w:t xml:space="preserve">• </w:t>
      </w:r>
      <w:r>
        <w:rPr>
          <w:rFonts w:ascii="맑은 고딕" w:hAnsi="맑은 고딕" w:eastAsia="맑은 고딕"/>
          <w:b/>
          <w:color w:val="222222"/>
          <w:sz w:val="20"/>
        </w:rPr>
        <w:t xml:space="preserve">목적: </w:t>
      </w:r>
      <w:r>
        <w:rPr>
          <w:rFonts w:ascii="맑은 고딕" w:hAnsi="맑은 고딕" w:eastAsia="맑은 고딕"/>
          <w:b w:val="0"/>
          <w:color w:val="222222"/>
          <w:sz w:val="20"/>
        </w:rPr>
        <w:t>제조경비·재료비(투입비용)가 발생 단위(부서·자재)에서 제품별 원가로 배부되는 과정을 화면으로 설명</w:t>
      </w:r>
    </w:p>
    <w:p>
      <w:pPr>
        <w:spacing w:after="20"/>
        <w:ind w:left="283"/>
      </w:pPr>
      <w:r>
        <w:rPr>
          <w:rFonts w:ascii="맑은 고딕" w:hAnsi="맑은 고딕" w:eastAsia="맑은 고딕"/>
          <w:b/>
          <w:color w:val="1E2761"/>
          <w:sz w:val="20"/>
        </w:rPr>
        <w:t xml:space="preserve">• </w:t>
      </w:r>
      <w:r>
        <w:rPr>
          <w:rFonts w:ascii="맑은 고딕" w:hAnsi="맑은 고딕" w:eastAsia="맑은 고딕"/>
          <w:b/>
          <w:color w:val="222222"/>
          <w:sz w:val="20"/>
        </w:rPr>
        <w:t xml:space="preserve">조회 기준: </w:t>
      </w:r>
      <w:r>
        <w:rPr>
          <w:rFonts w:ascii="맑은 고딕" w:hAnsi="맑은 고딕" w:eastAsia="맑은 고딕"/>
          <w:b w:val="0"/>
          <w:color w:val="222222"/>
          <w:sz w:val="20"/>
        </w:rPr>
        <w:t>년월 202605, Site 선택(본사=HQ / 비나=VN) → 조회</w:t>
      </w:r>
    </w:p>
    <w:p>
      <w:pPr>
        <w:spacing w:after="20"/>
        <w:ind w:left="283"/>
      </w:pPr>
      <w:r>
        <w:rPr>
          <w:rFonts w:ascii="맑은 고딕" w:hAnsi="맑은 고딕" w:eastAsia="맑은 고딕"/>
          <w:b/>
          <w:color w:val="1E2761"/>
          <w:sz w:val="20"/>
        </w:rPr>
        <w:t xml:space="preserve">• </w:t>
      </w:r>
      <w:r>
        <w:rPr>
          <w:rFonts w:ascii="맑은 고딕" w:hAnsi="맑은 고딕" w:eastAsia="맑은 고딕"/>
          <w:b/>
          <w:color w:val="222222"/>
          <w:sz w:val="20"/>
        </w:rPr>
        <w:t xml:space="preserve">진입 메뉴: </w:t>
      </w:r>
      <w:r>
        <w:rPr>
          <w:rFonts w:ascii="맑은 고딕" w:hAnsi="맑은 고딕" w:eastAsia="맑은 고딕"/>
          <w:b w:val="0"/>
          <w:color w:val="222222"/>
          <w:sz w:val="20"/>
        </w:rPr>
        <w:t>[결산증빙 자료] &gt; 투입 비용 (C0008002) — 상단 6개 탭 순서가 곧 배부 흐름</w:t>
      </w:r>
    </w:p>
    <w:p>
      <w:pPr>
        <w:spacing w:after="20"/>
        <w:ind w:left="283"/>
      </w:pPr>
      <w:r>
        <w:rPr>
          <w:rFonts w:ascii="맑은 고딕" w:hAnsi="맑은 고딕" w:eastAsia="맑은 고딕"/>
          <w:b/>
          <w:color w:val="1E2761"/>
          <w:sz w:val="20"/>
        </w:rPr>
        <w:t xml:space="preserve">• </w:t>
      </w:r>
      <w:r>
        <w:rPr>
          <w:rFonts w:ascii="맑은 고딕" w:hAnsi="맑은 고딕" w:eastAsia="맑은 고딕"/>
          <w:b/>
          <w:color w:val="990011"/>
          <w:sz w:val="20"/>
        </w:rPr>
        <w:t xml:space="preserve">핵심: </w:t>
      </w:r>
      <w:r>
        <w:rPr>
          <w:rFonts w:ascii="맑은 고딕" w:hAnsi="맑은 고딕" w:eastAsia="맑은 고딕"/>
          <w:b w:val="0"/>
          <w:color w:val="990011"/>
          <w:sz w:val="20"/>
        </w:rPr>
        <w:t>「부서별 경비 집계표 → 제품별 가공비」 구간이 가장 중요 (가공비 배부의 시작~완료)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2. 전체 배부 흐름 (한눈에)</w:t>
      </w:r>
    </w:p>
    <w:p>
      <w:pPr>
        <w:spacing w:before="40" w:after="20"/>
      </w:pPr>
      <w:r>
        <w:rPr>
          <w:rFonts w:ascii="맑은 고딕" w:hAnsi="맑은 고딕" w:eastAsia="맑은 고딕"/>
          <w:b/>
          <w:color w:val="222222"/>
          <w:sz w:val="20"/>
        </w:rPr>
        <w:t>[ 가공비 흐름 ]  경비 발생(계정) → ① 부서별 경비 집계표 → ② 원가항목별 비용 → ③ 제품별 가공비</w:t>
      </w:r>
    </w:p>
    <w:p>
      <w:pPr>
        <w:spacing w:before="40" w:after="20"/>
      </w:pPr>
      <w:r>
        <w:rPr>
          <w:rFonts w:ascii="맑은 고딕" w:hAnsi="맑은 고딕" w:eastAsia="맑은 고딕"/>
          <w:b/>
          <w:color w:val="222222"/>
          <w:sz w:val="20"/>
        </w:rPr>
        <w:t>[ 재료비 흐름 ]  자재 투입 → ④ 자재별 투입실적 → ⑤ 원가항목별 재료비 → ⑥ 제품별 투입 재료비</w:t>
      </w:r>
    </w:p>
    <w:p>
      <w:pPr>
        <w:spacing w:before="40" w:after="60"/>
      </w:pPr>
      <w:r>
        <w:rPr>
          <w:rFonts w:ascii="맑은 고딕" w:hAnsi="맑은 고딕" w:eastAsia="맑은 고딕"/>
          <w:b/>
          <w:color w:val="1E2761"/>
          <w:sz w:val="20"/>
        </w:rPr>
        <w:t>[ 합류 ]  ③ 가공비 + ⑥ 재료비 → 제품 제조원가 → 제품별 재공평가(DOI_COST) → 제품원가 → 매출원가 → 손익</w:t>
      </w:r>
    </w:p>
    <w:p>
      <w:pPr>
        <w:spacing w:after="20"/>
        <w:ind w:left="283"/>
      </w:pPr>
      <w:r>
        <w:rPr>
          <w:rFonts w:ascii="맑은 고딕" w:hAnsi="맑은 고딕" w:eastAsia="맑은 고딕"/>
          <w:b/>
          <w:color w:val="1E2761"/>
          <w:sz w:val="20"/>
        </w:rPr>
        <w:t xml:space="preserve">• </w:t>
      </w:r>
      <w:r>
        <w:rPr>
          <w:rFonts w:ascii="맑은 고딕" w:hAnsi="맑은 고딕" w:eastAsia="맑은 고딕"/>
          <w:b/>
          <w:color w:val="222222"/>
          <w:sz w:val="20"/>
        </w:rPr>
        <w:t xml:space="preserve">배부 기준 요약: </w:t>
      </w:r>
      <w:r>
        <w:rPr>
          <w:rFonts w:ascii="맑은 고딕" w:hAnsi="맑은 고딕" w:eastAsia="맑은 고딕"/>
          <w:b w:val="0"/>
          <w:color w:val="222222"/>
          <w:sz w:val="20"/>
        </w:rPr>
        <w:t>가공비 = 계정금액 × 제품구조 배부계수 × 배부율   /   재료비 = 제품 BOM 소요량 비율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3. 화면별 상세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680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1871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(탭 · 코드)</w:t>
            </w:r>
          </w:p>
        </w:tc>
        <w:tc>
          <w:tcPr>
            <w:tcW w:type="dxa" w:w="2835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화면에서 볼 것</w:t>
            </w:r>
          </w:p>
        </w:tc>
        <w:tc>
          <w:tcPr>
            <w:tcW w:type="dxa" w:w="4252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 포인트 — 배부 로직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0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투입 비용 진입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(C0008002)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상단 6개 탭 구성 확인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(경비→가공비, 자재→재료비)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탭 왼→오 순서가 실제 배부 순서. 년월·Site 조회 후 시작.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부서별 경비 집계표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(TAB080001)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부서(코스트센터)별로 집계된 제조경비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배부의 출발점. 회계에서 넘어온 경비를 발생 부서 단위로 집계(원천: 경비집계 DOI_EXPEN_MATL). 이 총액이 이후 제품별 가공비 총액과 일치해야 함.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원가항목별 비용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(TAB080002)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 경비를 원가항목(계정)별로 재분류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(노무비·감가상각·수선비·동력비 등)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비용의 '성격'을 원가항목으로 구분 → 제품 배부의 기준 축.</w:t>
            </w:r>
          </w:p>
        </w:tc>
      </w:tr>
      <w:tr>
        <w:tc>
          <w:tcPr>
            <w:tcW w:type="dxa" w:w="680"/>
            <w:shd w:val="clear" w:color="auto" w:fill="FFF3CD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3 ★</w:t>
            </w:r>
          </w:p>
        </w:tc>
        <w:tc>
          <w:tcPr>
            <w:tcW w:type="dxa" w:w="1871"/>
            <w:shd w:val="clear" w:color="auto" w:fill="FFF3CD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가공비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(TAB080003)</w:t>
            </w:r>
          </w:p>
        </w:tc>
        <w:tc>
          <w:tcPr>
            <w:tcW w:type="dxa" w:w="2835"/>
            <w:shd w:val="clear" w:color="auto" w:fill="FFF3CD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부서·원가항목별 경비가 제품(모델)별로 배부된 결과 (행=모델)</w:t>
            </w:r>
          </w:p>
        </w:tc>
        <w:tc>
          <w:tcPr>
            <w:tcW w:type="dxa" w:w="4252"/>
            <w:shd w:val="clear" w:color="auto" w:fill="FFF3CD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계정금액 × 제품구조 배부계수(UTG/CST, DOI_CST_RATE) × 배부율(DOI_VNCST_RATE). 카세트팀 등 특수부서는 정해진 율로 UTG/카세트 제품에 귀속. → 재공평가 가공비로 반영.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자재별 투입실적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(TAB080004)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자재(원/부자재)별 투입 수량·금액 실적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재료비 배부의 출발점. 생산에 실제 투입된 자재 실적.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원가항목별 재료비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(TAB080005)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투입 자재를 원가항목(원자재·부자재)별로 집계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재료비의 원가항목 구분.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투입 재료비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(TAB080006)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자재 투입이 제품(모델)별로 배부된 결과 (모델별 열 피벗)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 BOM(DOI_BOM_MAST) 소요량 기준. 배부율 = (생산환산량 × 소요량) / Σ(자재별 합) → 각 제품의 BOM 소요 비중대로 자재비 배분. → 재공평가 재료비로 반영.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 검증 · 결과 반영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(C0008003 → C0008008)</w:t>
            </w:r>
          </w:p>
        </w:tc>
        <w:tc>
          <w:tcPr>
            <w:tcW w:type="dxa" w:w="283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배부금액 검증 화면 → 제품별 재공평가(DOI_COST)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 전/후 총액 일치 검증 후 제품별 재공평가로 확정 → 제품원가·매출원가·손익으로 연결.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4. 배부 로직 핵심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907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871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소스 (발생)</w:t>
            </w:r>
          </w:p>
        </w:tc>
        <w:tc>
          <w:tcPr>
            <w:tcW w:type="dxa" w:w="1871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타겟 (배부 결과)</w:t>
            </w:r>
          </w:p>
        </w:tc>
        <w:tc>
          <w:tcPr>
            <w:tcW w:type="dxa" w:w="3175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배부 기준</w:t>
            </w:r>
          </w:p>
        </w:tc>
        <w:tc>
          <w:tcPr>
            <w:tcW w:type="dxa" w:w="1814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가공비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경비집계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(DOI_EXPEN_MATL)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가공비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(DOI_COST)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계정금액 × 제품구조계수(DOI_CST_RATE) × 배부율(DOI_VNCST_RATE); 특수부서 별도율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소스 합 = 타겟 합 자동검증 (차이율·통과/불일치 로그)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재료비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자재 투입실적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재료비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(DOI_MAT_COST)</w:t>
            </w:r>
          </w:p>
        </w:tc>
        <w:tc>
          <w:tcPr>
            <w:tcW w:type="dxa" w:w="3175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 BOM 소요량 비율 (생산환산량 × 소요량 / Σ)</w:t>
            </w:r>
          </w:p>
        </w:tc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배부금액 검증 화면(C0008003)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5. 예상 질문 &amp;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예상 질문</w:t>
            </w:r>
          </w:p>
        </w:tc>
        <w:tc>
          <w:tcPr>
            <w:tcW w:type="dxa" w:w="6236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 포인트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 경비가 여러 제품에 어떻게 나뉘나?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제품구조 배부계수 + 월별 배부율. 계정 성격별 기준 적용.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 누락·오류는 어떻게 확인?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배부금액 검증 화면 + 프로시저 내 소스-타겟 총액 자동검증(통과/불일치).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재료비 배부 기준은?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 BOM 소요량 비중. 실투입 자재를 BOM대로 제품에 배분.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비나(VN) 특화 포인트?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통화(USD)·계정 체계 반영. 배부계수·환율은 월별 기준정보로 관리.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202605 데이터 신뢰수준?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기초 재공·재고·환율 임의(가)데이터 기반 → '가검증' 성격, 실데이터 반영 후 재검증 예정.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일부 세목이 안 보이는 이유?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계정과목 매칭정보 미비 이슈 확인중(제조경비·판관비·세목 표시).</w:t>
            </w:r>
          </w:p>
        </w:tc>
      </w:tr>
    </w:tbl>
    <w:p>
      <w:pPr>
        <w:spacing w:before="240" w:after="80"/>
      </w:pPr>
      <w:r>
        <w:rPr>
          <w:rFonts w:ascii="맑은 고딕" w:hAnsi="맑은 고딕" w:eastAsia="맑은 고딕"/>
          <w:b/>
          <w:color w:val="1E2761"/>
          <w:sz w:val="26"/>
        </w:rPr>
        <w:t>6. 부록 — 관련 화면 / 리포트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3402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(코드)</w:t>
            </w:r>
          </w:p>
        </w:tc>
        <w:tc>
          <w:tcPr>
            <w:tcW w:type="dxa" w:w="6236"/>
            <w:shd w:val="clear" w:color="auto" w:fill="1E2761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배부금액 검증 (C0008003)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 전/후 총액 일치 검증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투입 비용 (C0008004)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투입비용(DOI_PROD_EXPN) 상세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제품별 재공평가 (C0008008)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배부 결과가 반영된 제품별 재공(DOI_COST)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제조경비 집계표 (C0009005)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부서별/제품별 집계 리포트</w:t>
            </w:r>
          </w:p>
        </w:tc>
      </w:tr>
      <w:tr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원부자재 배부표·제품별 (C0009006)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자재 배부 결과 리포트</w:t>
            </w:r>
          </w:p>
        </w:tc>
      </w:tr>
    </w:tbl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