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futures-prices-in-the-u.s.-corn-market"/>
    <w:p>
      <w:pPr>
        <w:pStyle w:val="Heading1"/>
      </w:pPr>
      <w:r>
        <w:t xml:space="preserve">Futures Prices in the U.S. Corn Market</w:t>
      </w:r>
    </w:p>
    <w:p>
      <w:pPr>
        <w:pStyle w:val="FirstParagraph"/>
      </w:pPr>
      <w:r>
        <w:t xml:space="preserve">Begin by defining the path of the directory which has the</w:t>
      </w:r>
      <w:r>
        <w:t xml:space="preserve"> </w:t>
      </w:r>
      <w:r>
        <w:t xml:space="preserve">“</w:t>
      </w:r>
      <w:r>
        <w:t xml:space="preserve">get_delta</w:t>
      </w:r>
      <w:r>
        <w:t xml:space="preserve">”</w:t>
      </w:r>
      <w:r>
        <w:t xml:space="preserve"> </w:t>
      </w:r>
      <w:r>
        <w:t xml:space="preserve">function. In RMark down the working directory should not changed in the code and so this more awkward method is used). The default directory is the same directory that this file is stored.</w:t>
      </w:r>
    </w:p>
    <w:p>
      <w:pPr>
        <w:pStyle w:val="SourceCode"/>
      </w:pPr>
      <w:r>
        <w:rPr>
          <w:rStyle w:val="NormalTok"/>
        </w:rPr>
        <w:t xml:space="preserve">path_work_ftn </w:t>
      </w:r>
      <w:r>
        <w:rPr>
          <w:rStyle w:val="OtherTok"/>
        </w:rPr>
        <w:t xml:space="preserve">&lt;-</w:t>
      </w:r>
      <w:r>
        <w:rPr>
          <w:rStyle w:val="NormalTok"/>
        </w:rPr>
        <w:t xml:space="preserve"> </w:t>
      </w:r>
      <w:r>
        <w:rPr>
          <w:rStyle w:val="StringTok"/>
        </w:rPr>
        <w:t xml:space="preserve">"C:/Users/Jim/Dropbox/Git/Markdown501/Convenience Yield/price_function.R"</w:t>
      </w:r>
    </w:p>
    <w:bookmarkStart w:id="20" w:name="theory-of-commodity-futures"/>
    <w:p>
      <w:pPr>
        <w:pStyle w:val="Heading2"/>
      </w:pPr>
      <w:r>
        <w:t xml:space="preserve">Theory of Commodity Futures</w:t>
      </w:r>
    </w:p>
    <w:p>
      <w:pPr>
        <w:pStyle w:val="FirstParagraph"/>
      </w:pPr>
      <w:r>
        <w:t xml:space="preserve">Recall that a long futures contract is a commitment to purchase the commodity when the contract expires. For the corn market, the contract expires the business day prior to the 15th calendar day of the contract month (e.g., December 14th for a December, 2021 contract). Further recall that a person who holds a futures contract will generally offset it prior to the contract expiring but they do have the option to accept delivery for a long contract and make delivery for a short contract. For the corn contract, the delivery location is Chicago.</w:t>
      </w:r>
    </w:p>
    <w:p>
      <w:pPr>
        <w:pStyle w:val="BodyText"/>
      </w:pPr>
      <w:r>
        <w:t xml:space="preserve">Arbitrage ensures that in the Chicago market the price of the futures contract on the day it expires must equal the spot price. Suppose the futures price of the expiring contract was higher than the spot price. In this case a speculator would purchase the spot commodity, take a short position, and deliver against that contract for a profit. In the opposite case, a speculator would take a long position, accept delivery of the commodity and sell the commodity at the higher spot price for a profit.</w:t>
      </w:r>
    </w:p>
    <w:p>
      <w:pPr>
        <w:pStyle w:val="BodyText"/>
      </w:pPr>
      <w:r>
        <w:t xml:space="preserve">This important relationship which connects the futures price and the spot price is worth emphasizing.</w:t>
      </w:r>
    </w:p>
    <w:p>
      <w:pPr>
        <w:pStyle w:val="BodyText"/>
      </w:pPr>
      <w:r>
        <w:rPr>
          <w:bCs/>
          <w:b/>
        </w:rPr>
        <w:t xml:space="preserve">Arbitrage ensures that in the Chicago corn market, the price of an expiring futures contract is equal to the spot price.</w:t>
      </w:r>
      <w:r>
        <w:rPr>
          <w:bCs/>
          <w:b/>
        </w:rPr>
        <w:t xml:space="preserve"> </w:t>
      </w:r>
    </w:p>
    <w:p>
      <w:pPr>
        <w:pStyle w:val="BodyText"/>
      </w:pPr>
      <w:r>
        <w:t xml:space="preserve">What price should we</w:t>
      </w:r>
      <w:r>
        <w:t xml:space="preserve"> </w:t>
      </w:r>
      <w:r>
        <w:rPr>
          <w:iCs/>
          <w:i/>
        </w:rPr>
        <w:t xml:space="preserve">expect</w:t>
      </w:r>
      <w:r>
        <w:t xml:space="preserve"> </w:t>
      </w:r>
      <w:r>
        <w:t xml:space="preserve">for an expiring December futures contract in early October? Based on the discussion above, it should be obvious that prior to expiry the price of a futures contract is equal to the spot price which is expected in the Chicago market on the day the contract expires. Thus, on October 1, 2021 the price of a December futures contract should equal the price that speculators expect to prevail in the Chicago market on December 14, 2021.</w:t>
      </w:r>
    </w:p>
    <w:p>
      <w:pPr>
        <w:pStyle w:val="BodyText"/>
      </w:pPr>
      <w:r>
        <w:t xml:space="preserve">The previous result assumes risk neutral pricing. In reality the futures price may be above or below the expected spot price by an amount equal to the risk premium. We will revisit this topic later but for now it is sufficient to assume risk neutral pricing. What remains to be determined is the determination of the expected spot price at some distant time in the future. The pricing models we have been using do not have uncertainty and so the expected price is equal to the actual price which will eventually emerge. In this module we incorporate uncertainty into the eight quarter pricing model so that we can identify expected spot prices and futures prices in a meaningful way.</w:t>
      </w:r>
    </w:p>
    <w:bookmarkEnd w:id="20"/>
    <w:bookmarkStart w:id="21" w:name="usda-forecasts"/>
    <w:p>
      <w:pPr>
        <w:pStyle w:val="Heading2"/>
      </w:pPr>
      <w:r>
        <w:t xml:space="preserve">USDA Forecasts</w:t>
      </w:r>
    </w:p>
    <w:p>
      <w:pPr>
        <w:pStyle w:val="FirstParagraph"/>
      </w:pPr>
      <w:r>
        <w:t xml:space="preserve">Recall that in the eight quarter model the price in quarter</w:t>
      </w:r>
      <w:r>
        <w:t xml:space="preserve"> </w:t>
      </w:r>
      <m:oMath>
        <m:r>
          <m:t>t</m:t>
        </m:r>
      </m:oMath>
      <w:r>
        <w:t xml:space="preserve"> </w:t>
      </w:r>
      <w:r>
        <w:t xml:space="preserve">can be expressed as</w:t>
      </w:r>
    </w:p>
    <w:p>
      <w:pPr>
        <w:pStyle w:val="BodyText"/>
      </w:pPr>
      <m:oMathPara>
        <m:oMathParaPr>
          <m:jc m:val="center"/>
        </m:oMathParaPr>
        <m:oMath>
          <m:sSub>
            <m:e>
              <m:r>
                <m:t>P</m:t>
              </m:r>
            </m:e>
            <m:sub>
              <m:r>
                <m:t>t</m:t>
              </m:r>
            </m:sub>
          </m:sSub>
          <m:r>
            <m:rPr>
              <m:sty m:val="p"/>
            </m:rPr>
            <m:t>=</m:t>
          </m:r>
          <m:sSubSup>
            <m:e>
              <m:r>
                <m:t>δ</m:t>
              </m:r>
            </m:e>
            <m:sub>
              <m:r>
                <m:t>0</m:t>
              </m:r>
            </m:sub>
            <m:sup>
              <m:r>
                <m:t>t</m:t>
              </m:r>
            </m:sup>
          </m:sSubSup>
          <m:r>
            <m:rPr>
              <m:sty m:val="p"/>
            </m:rPr>
            <m:t>+</m:t>
          </m:r>
          <m:sSubSup>
            <m:e>
              <m:r>
                <m:t>δ</m:t>
              </m:r>
            </m:e>
            <m:sub>
              <m:r>
                <m:t>1</m:t>
              </m:r>
            </m:sub>
            <m:sup>
              <m:r>
                <m:t>t</m:t>
              </m:r>
            </m:sup>
          </m:sSubSup>
          <m:sSub>
            <m:e>
              <m:acc>
                <m:accPr>
                  <m:chr m:val="̃"/>
                </m:accPr>
                <m:e>
                  <m:r>
                    <m:t>H</m:t>
                  </m:r>
                </m:e>
              </m:acc>
            </m:e>
            <m:sub>
              <m:r>
                <m:t>5</m:t>
              </m:r>
            </m:sub>
          </m:sSub>
          <m:r>
            <m:rPr>
              <m:sty m:val="p"/>
            </m:rPr>
            <m:t>+</m:t>
          </m:r>
          <m:sSubSup>
            <m:e>
              <m:r>
                <m:t>δ</m:t>
              </m:r>
            </m:e>
            <m:sub>
              <m:r>
                <m:t>2</m:t>
              </m:r>
            </m:sub>
            <m:sup>
              <m:r>
                <m:t>t</m:t>
              </m:r>
            </m:sup>
          </m:sSubSup>
          <m:acc>
            <m:accPr>
              <m:chr m:val="̃"/>
            </m:accPr>
            <m:e>
              <m:r>
                <m:t>D</m:t>
              </m:r>
            </m:e>
          </m:acc>
        </m:oMath>
      </m:oMathPara>
    </w:p>
    <w:p>
      <w:pPr>
        <w:pStyle w:val="FirstParagraph"/>
      </w:pPr>
      <w:r>
        <w:t xml:space="preserve">In this equation,</w:t>
      </w:r>
      <w:r>
        <w:t xml:space="preserve"> </w:t>
      </w:r>
      <m:oMath>
        <m:sSub>
          <m:e>
            <m:acc>
              <m:accPr>
                <m:chr m:val="̃"/>
              </m:accPr>
              <m:e>
                <m:r>
                  <m:t>H</m:t>
                </m:r>
              </m:e>
            </m:acc>
          </m:e>
          <m:sub>
            <m:r>
              <m:t>5</m:t>
            </m:r>
          </m:sub>
        </m:sSub>
      </m:oMath>
      <w:r>
        <w:t xml:space="preserve"> </w:t>
      </w:r>
      <w:r>
        <w:t xml:space="preserve">is the random level of year 2 harvest, which is revealed in Q5, and</w:t>
      </w:r>
      <w:r>
        <w:t xml:space="preserve"> </w:t>
      </w:r>
      <m:oMath>
        <m:acc>
          <m:accPr>
            <m:chr m:val="̃"/>
          </m:accPr>
          <m:e>
            <m:r>
              <m:t>D</m:t>
            </m:r>
          </m:e>
        </m:acc>
      </m:oMath>
      <w:r>
        <w:t xml:space="preserve"> </w:t>
      </w:r>
      <w:r>
        <w:t xml:space="preserve">is the random level of demand for stocks which are carried out of year 2 (i.e., long-term In the above equation,</w:t>
      </w:r>
      <w:r>
        <w:t xml:space="preserve"> </w:t>
      </w:r>
      <m:oMath>
        <m:sSub>
          <m:e>
            <m:acc>
              <m:accPr>
                <m:chr m:val="̃"/>
              </m:accPr>
              <m:e>
                <m:r>
                  <m:t>H</m:t>
                </m:r>
              </m:e>
            </m:acc>
          </m:e>
          <m:sub>
            <m:r>
              <m:t>5</m:t>
            </m:r>
          </m:sub>
        </m:sSub>
      </m:oMath>
      <w:r>
        <w:t xml:space="preserve"> </w:t>
      </w:r>
      <w:r>
        <w:t xml:space="preserve">is random year 2 harvest, the value of which becomes known in Q5, and</w:t>
      </w:r>
      <w:r>
        <w:t xml:space="preserve"> </w:t>
      </w:r>
      <m:oMath>
        <m:acc>
          <m:accPr>
            <m:chr m:val="̃"/>
          </m:accPr>
          <m:e>
            <m:r>
              <m:t>D</m:t>
            </m:r>
          </m:e>
        </m:acc>
      </m:oMath>
      <w:r>
        <w:t xml:space="preserve"> </w:t>
      </w:r>
      <w:r>
        <w:t xml:space="preserve">is the random demand for ending year 2 stocks (i.e., long term net demand).</w:t>
      </w:r>
    </w:p>
    <w:p>
      <w:pPr>
        <w:pStyle w:val="BodyText"/>
      </w:pPr>
      <w:r>
        <w:t xml:space="preserve">Let</w:t>
      </w:r>
      <w:r>
        <w:t xml:space="preserve"> </w:t>
      </w:r>
      <m:oMath>
        <m:sSub>
          <m:e>
            <m:acc>
              <m:accPr>
                <m:chr m:val="̂"/>
              </m:accPr>
              <m:e>
                <m:r>
                  <m:t>H</m:t>
                </m:r>
              </m:e>
            </m:acc>
          </m:e>
          <m:sub>
            <m:r>
              <m:t>t</m:t>
            </m:r>
          </m:sub>
        </m:sSub>
      </m:oMath>
      <w:r>
        <w:t xml:space="preserve"> </w:t>
      </w:r>
      <w:r>
        <w:t xml:space="preserve">denote the forecast of year two harvest in quarter</w:t>
      </w:r>
      <w:r>
        <w:t xml:space="preserve"> </w:t>
      </w:r>
      <m:oMath>
        <m:r>
          <m:t>t</m:t>
        </m:r>
        <m:r>
          <m:rPr>
            <m:sty m:val="p"/>
          </m:rPr>
          <m:t>=</m:t>
        </m:r>
        <m:r>
          <m:t>1</m:t>
        </m:r>
        <m:r>
          <m:rPr>
            <m:sty m:val="p"/>
          </m:rPr>
          <m:t>,</m:t>
        </m:r>
        <m:r>
          <m:t>2</m:t>
        </m:r>
        <m:r>
          <m:rPr>
            <m:sty m:val="p"/>
          </m:rPr>
          <m:t>,</m:t>
        </m:r>
        <m:r>
          <m:t>3</m:t>
        </m:r>
        <m:r>
          <m:rPr>
            <m:sty m:val="p"/>
          </m:rPr>
          <m:t>,</m:t>
        </m:r>
        <m:r>
          <m:t>4</m:t>
        </m:r>
      </m:oMath>
      <w:r>
        <w:t xml:space="preserve">. As well, let</w:t>
      </w:r>
      <w:r>
        <w:t xml:space="preserve"> </w:t>
      </w:r>
      <m:oMath>
        <m:sSub>
          <m:e>
            <m:acc>
              <m:accPr>
                <m:chr m:val="̂"/>
              </m:accPr>
              <m:e>
                <m:r>
                  <m:t>D</m:t>
                </m:r>
              </m:e>
            </m:acc>
          </m:e>
          <m:sub>
            <m:r>
              <m:t>t</m:t>
            </m:r>
          </m:sub>
        </m:sSub>
      </m:oMath>
      <w:r>
        <w:t xml:space="preserve"> </w:t>
      </w:r>
      <w:r>
        <w:t xml:space="preserve">denote the forecast of long term net demand in quarter</w:t>
      </w:r>
      <w:r>
        <w:t xml:space="preserve"> </w:t>
      </w:r>
      <m:oMath>
        <m:r>
          <m:t>t</m:t>
        </m:r>
        <m:r>
          <m:rPr>
            <m:sty m:val="p"/>
          </m:rPr>
          <m:t>=</m:t>
        </m:r>
        <m:r>
          <m:t>1</m:t>
        </m:r>
        <m:r>
          <m:rPr>
            <m:sty m:val="p"/>
          </m:rPr>
          <m:t>,</m:t>
        </m:r>
        <m:r>
          <m:t>2</m:t>
        </m:r>
        <m:r>
          <m:rPr>
            <m:sty m:val="p"/>
          </m:rPr>
          <m:t>.</m:t>
        </m:r>
        <m:r>
          <m:rPr>
            <m:sty m:val="p"/>
          </m:rPr>
          <m:t>.</m:t>
        </m:r>
        <m:r>
          <m:rPr>
            <m:sty m:val="p"/>
          </m:rPr>
          <m:t>.</m:t>
        </m:r>
        <m:r>
          <m:rPr>
            <m:sty m:val="p"/>
          </m:rPr>
          <m:t>,</m:t>
        </m:r>
        <m:r>
          <m:t>8</m:t>
        </m:r>
      </m:oMath>
      <w:r>
        <w:t xml:space="preserve">. We believe that prices are determined using the forecasted values of</w:t>
      </w:r>
      <w:r>
        <w:t xml:space="preserve"> </w:t>
      </w:r>
      <m:oMath>
        <m:sSub>
          <m:e>
            <m:acc>
              <m:accPr>
                <m:chr m:val="̃"/>
              </m:accPr>
              <m:e>
                <m:r>
                  <m:t>H</m:t>
                </m:r>
              </m:e>
            </m:acc>
          </m:e>
          <m:sub>
            <m:r>
              <m:t>5</m:t>
            </m:r>
          </m:sub>
        </m:sSub>
      </m:oMath>
      <w:r>
        <w:t xml:space="preserve"> </w:t>
      </w:r>
      <w:r>
        <w:t xml:space="preserve">and</w:t>
      </w:r>
      <w:r>
        <w:t xml:space="preserve"> </w:t>
      </w:r>
      <m:oMath>
        <m:acc>
          <m:accPr>
            <m:chr m:val="̃"/>
          </m:accPr>
          <m:e>
            <m:r>
              <m:t>D</m:t>
            </m:r>
          </m:e>
        </m:acc>
      </m:oMath>
      <w:r>
        <w:t xml:space="preserve">. Thus,</w:t>
      </w:r>
      <w:r>
        <w:t xml:space="preserve"> </w:t>
      </w:r>
      <w:r>
        <w:t xml:space="preserve">to calculate the current price</w:t>
      </w:r>
      <w:r>
        <w:t xml:space="preserve"> </w:t>
      </w:r>
      <m:oMath>
        <m:sSub>
          <m:e>
            <m:r>
              <m:t>P</m:t>
            </m:r>
          </m:e>
          <m:sub>
            <m:r>
              <m:t>t</m:t>
            </m:r>
          </m:sub>
        </m:sSub>
      </m:oMath>
      <w:r>
        <w:t xml:space="preserve"> </w:t>
      </w:r>
      <w:r>
        <w:t xml:space="preserve">we substitute</w:t>
      </w:r>
      <w:r>
        <w:t xml:space="preserve"> </w:t>
      </w:r>
      <m:oMath>
        <m:sSub>
          <m:e>
            <m:acc>
              <m:accPr>
                <m:chr m:val="̂"/>
              </m:accPr>
              <m:e>
                <m:r>
                  <m:t>H</m:t>
                </m:r>
              </m:e>
            </m:acc>
          </m:e>
          <m:sub>
            <m:r>
              <m:t>t</m:t>
            </m:r>
          </m:sub>
        </m:sSub>
      </m:oMath>
      <w:r>
        <w:t xml:space="preserve"> </w:t>
      </w:r>
      <w:r>
        <w:t xml:space="preserve">for</w:t>
      </w:r>
      <w:r>
        <w:t xml:space="preserve"> </w:t>
      </w:r>
      <m:oMath>
        <m:sSub>
          <m:e>
            <m:acc>
              <m:accPr>
                <m:chr m:val="̂"/>
              </m:accPr>
              <m:e>
                <m:r>
                  <m:t>H</m:t>
                </m:r>
              </m:e>
            </m:acc>
          </m:e>
          <m:sub>
            <m:r>
              <m:t>5</m:t>
            </m:r>
          </m:sub>
        </m:sSub>
      </m:oMath>
      <w:r>
        <w:t xml:space="preserve"> </w:t>
      </w:r>
      <w:r>
        <w:t xml:space="preserve">and substitute</w:t>
      </w:r>
      <w:r>
        <w:t xml:space="preserve"> </w:t>
      </w:r>
      <m:oMath>
        <m:sSub>
          <m:e>
            <m:acc>
              <m:accPr>
                <m:chr m:val="̂"/>
              </m:accPr>
              <m:e>
                <m:r>
                  <m:t>D</m:t>
                </m:r>
              </m:e>
            </m:acc>
          </m:e>
          <m:sub>
            <m:r>
              <m:t>t</m:t>
            </m:r>
          </m:sub>
        </m:sSub>
      </m:oMath>
      <w:r>
        <w:t xml:space="preserve"> </w:t>
      </w:r>
      <w:r>
        <w:t xml:space="preserve">for</w:t>
      </w:r>
      <w:r>
        <w:t xml:space="preserve"> </w:t>
      </w:r>
      <m:oMath>
        <m:acc>
          <m:accPr>
            <m:chr m:val="̃"/>
          </m:accPr>
          <m:e>
            <m:r>
              <m:t>D</m:t>
            </m:r>
          </m:e>
        </m:acc>
      </m:oMath>
      <w:r>
        <w:t xml:space="preserve"> </w:t>
      </w:r>
      <w:r>
        <w:t xml:space="preserve">in the above equation. Similarly, if when in quarter</w:t>
      </w:r>
      <w:r>
        <w:t xml:space="preserve"> </w:t>
      </w:r>
      <m:oMath>
        <m:r>
          <m:t>t</m:t>
        </m:r>
      </m:oMath>
      <w:r>
        <w:t xml:space="preserve"> </w:t>
      </w:r>
      <w:r>
        <w:t xml:space="preserve">we knew what the forecast was going to be in future quarter</w:t>
      </w:r>
      <w:r>
        <w:t xml:space="preserve"> </w:t>
      </w:r>
      <m:oMath>
        <m:r>
          <m:t>i</m:t>
        </m:r>
      </m:oMath>
      <w:r>
        <w:t xml:space="preserve"> </w:t>
      </w:r>
      <w:r>
        <w:t xml:space="preserve">then we can calculate the expected price for quarter given that we are currently in quarter</w:t>
      </w:r>
      <w:r>
        <w:t xml:space="preserve"> </w:t>
      </w:r>
      <m:oMath>
        <m:r>
          <m:t>t</m:t>
        </m:r>
      </m:oMath>
      <w:r>
        <w:t xml:space="preserve"> </w:t>
      </w:r>
      <w:r>
        <w:t xml:space="preserve">as</w:t>
      </w:r>
    </w:p>
    <w:p>
      <w:pPr>
        <w:pStyle w:val="BodyText"/>
      </w:pPr>
      <m:oMathPara>
        <m:oMathParaPr>
          <m:jc m:val="center"/>
        </m:oMathParaPr>
        <m:oMath>
          <m:sSub>
            <m:e>
              <m:r>
                <m:t>E</m:t>
              </m:r>
            </m:e>
            <m:sub>
              <m:r>
                <m:t>t</m:t>
              </m:r>
            </m:sub>
          </m:sSub>
          <m:r>
            <m:rPr>
              <m:sty m:val="p"/>
            </m:rPr>
            <m:t>(</m:t>
          </m:r>
          <m:sSub>
            <m:e>
              <m:r>
                <m:t>P</m:t>
              </m:r>
            </m:e>
            <m:sub>
              <m:r>
                <m:t>i</m:t>
              </m:r>
            </m:sub>
          </m:sSub>
          <m:r>
            <m:rPr>
              <m:sty m:val="p"/>
            </m:rPr>
            <m:t>)</m:t>
          </m:r>
          <m:r>
            <m:rPr>
              <m:sty m:val="p"/>
            </m:rPr>
            <m:t>=</m:t>
          </m:r>
          <m:sSubSup>
            <m:e>
              <m:r>
                <m:t>δ</m:t>
              </m:r>
            </m:e>
            <m:sub>
              <m:r>
                <m:t>0</m:t>
              </m:r>
            </m:sub>
            <m:sup>
              <m:r>
                <m:t>i</m:t>
              </m:r>
            </m:sup>
          </m:sSubSup>
          <m:r>
            <m:rPr>
              <m:sty m:val="p"/>
            </m:rPr>
            <m:t>+</m:t>
          </m:r>
          <m:sSubSup>
            <m:e>
              <m:r>
                <m:t>δ</m:t>
              </m:r>
            </m:e>
            <m:sub>
              <m:r>
                <m:t>1</m:t>
              </m:r>
            </m:sub>
            <m:sup>
              <m:r>
                <m:t>i</m:t>
              </m:r>
            </m:sup>
          </m:sSubSup>
          <m:sSub>
            <m:e>
              <m:acc>
                <m:accPr>
                  <m:chr m:val="̂"/>
                </m:accPr>
                <m:e>
                  <m:r>
                    <m:t>H</m:t>
                  </m:r>
                </m:e>
              </m:acc>
            </m:e>
            <m:sub>
              <m:r>
                <m:t>i</m:t>
              </m:r>
            </m:sub>
          </m:sSub>
          <m:r>
            <m:rPr>
              <m:sty m:val="p"/>
            </m:rPr>
            <m:t>+</m:t>
          </m:r>
          <m:sSubSup>
            <m:e>
              <m:r>
                <m:t>δ</m:t>
              </m:r>
            </m:e>
            <m:sub>
              <m:r>
                <m:t>2</m:t>
              </m:r>
            </m:sub>
            <m:sup>
              <m:r>
                <m:t>i</m:t>
              </m:r>
            </m:sup>
          </m:sSubSup>
          <m:sSub>
            <m:e>
              <m:acc>
                <m:accPr>
                  <m:chr m:val="̂"/>
                </m:accPr>
                <m:e>
                  <m:r>
                    <m:t>D</m:t>
                  </m:r>
                </m:e>
              </m:acc>
            </m:e>
            <m:sub>
              <m:r>
                <m:t>i</m:t>
              </m:r>
            </m:sub>
          </m:sSub>
        </m:oMath>
      </m:oMathPara>
    </w:p>
    <w:p>
      <w:pPr>
        <w:pStyle w:val="FirstParagraph"/>
      </w:pPr>
      <w:r>
        <w:t xml:space="preserve">The problem becomes a lot easier if we assume that the forecasted values for crop production and long-term net demand follows a random walk over time. Specifically,</w:t>
      </w:r>
      <w:r>
        <w:t xml:space="preserve"> </w:t>
      </w:r>
      <m:oMath>
        <m:sSub>
          <m:e>
            <m:acc>
              <m:accPr>
                <m:chr m:val="̂"/>
              </m:accPr>
              <m:e>
                <m:r>
                  <m:t>H</m:t>
                </m:r>
              </m:e>
            </m:acc>
          </m:e>
          <m:sub>
            <m:r>
              <m:t>t</m:t>
            </m:r>
            <m:r>
              <m:rPr>
                <m:sty m:val="p"/>
              </m:rPr>
              <m:t>+</m:t>
            </m:r>
            <m:r>
              <m:t>1</m:t>
            </m:r>
          </m:sub>
        </m:sSub>
        <m:r>
          <m:rPr>
            <m:sty m:val="p"/>
          </m:rPr>
          <m:t>=</m:t>
        </m:r>
        <m:sSub>
          <m:e>
            <m:acc>
              <m:accPr>
                <m:chr m:val="̂"/>
              </m:accPr>
              <m:e>
                <m:r>
                  <m:t>H</m:t>
                </m:r>
              </m:e>
            </m:acc>
          </m:e>
          <m:sub>
            <m:r>
              <m:t>t</m:t>
            </m:r>
          </m:sub>
        </m:sSub>
        <m:r>
          <m:rPr>
            <m:sty m:val="p"/>
          </m:rPr>
          <m:t>+</m:t>
        </m:r>
        <m:sSub>
          <m:e>
            <m:r>
              <m:t>ϵ</m:t>
            </m:r>
          </m:e>
          <m:sub>
            <m:r>
              <m:t>H</m:t>
            </m:r>
          </m:sub>
        </m:sSub>
      </m:oMath>
      <w:r>
        <w:t xml:space="preserve"> </w:t>
      </w:r>
      <w:r>
        <w:t xml:space="preserve">and</w:t>
      </w:r>
      <w:r>
        <w:t xml:space="preserve"> </w:t>
      </w:r>
      <m:oMath>
        <m:sSub>
          <m:e>
            <m:acc>
              <m:accPr>
                <m:chr m:val="̂"/>
              </m:accPr>
              <m:e>
                <m:r>
                  <m:t>D</m:t>
                </m:r>
              </m:e>
            </m:acc>
          </m:e>
          <m:sub>
            <m:r>
              <m:t>t</m:t>
            </m:r>
            <m:r>
              <m:rPr>
                <m:sty m:val="p"/>
              </m:rPr>
              <m:t>+</m:t>
            </m:r>
            <m:r>
              <m:t>1</m:t>
            </m:r>
          </m:sub>
        </m:sSub>
        <m:r>
          <m:rPr>
            <m:sty m:val="p"/>
          </m:rPr>
          <m:t>=</m:t>
        </m:r>
        <m:sSub>
          <m:e>
            <m:acc>
              <m:accPr>
                <m:chr m:val="̂"/>
              </m:accPr>
              <m:e>
                <m:r>
                  <m:t>D</m:t>
                </m:r>
              </m:e>
            </m:acc>
          </m:e>
          <m:sub>
            <m:r>
              <m:t>t</m:t>
            </m:r>
          </m:sub>
        </m:sSub>
        <m:r>
          <m:rPr>
            <m:sty m:val="p"/>
          </m:rPr>
          <m:t>+</m:t>
        </m:r>
        <m:sSubSup>
          <m:e>
            <m:r>
              <m:t>ϵ</m:t>
            </m:r>
          </m:e>
          <m:sub>
            <m:r>
              <m:t>t</m:t>
            </m:r>
          </m:sub>
          <m:sup>
            <m:r>
              <m:t>D</m:t>
            </m:r>
          </m:sup>
        </m:sSubSup>
      </m:oMath>
      <w:r>
        <w:t xml:space="preserve"> </w:t>
      </w:r>
      <w:r>
        <w:t xml:space="preserve">where</w:t>
      </w:r>
      <w:r>
        <w:t xml:space="preserve"> </w:t>
      </w:r>
      <m:oMath>
        <m:sSubSup>
          <m:e>
            <m:r>
              <m:t>ϵ</m:t>
            </m:r>
          </m:e>
          <m:sub>
            <m:r>
              <m:t>t</m:t>
            </m:r>
          </m:sub>
          <m:sup>
            <m:r>
              <m:t>H</m:t>
            </m:r>
          </m:sup>
        </m:sSubSup>
      </m:oMath>
      <w:r>
        <w:t xml:space="preserve"> </w:t>
      </w:r>
      <w:r>
        <w:t xml:space="preserve">and</w:t>
      </w:r>
      <w:r>
        <w:t xml:space="preserve"> </w:t>
      </w:r>
      <m:oMath>
        <m:sSubSup>
          <m:e>
            <m:r>
              <m:t>ϵ</m:t>
            </m:r>
          </m:e>
          <m:sub>
            <m:r>
              <m:t>t</m:t>
            </m:r>
          </m:sub>
          <m:sup>
            <m:r>
              <m:t>D</m:t>
            </m:r>
          </m:sup>
        </m:sSubSup>
      </m:oMath>
      <w:r>
        <w:t xml:space="preserve"> </w:t>
      </w:r>
      <w:r>
        <w:t xml:space="preserve">are white-noise error terms. With this assumption, the forecast we expect to see in period</w:t>
      </w:r>
      <w:r>
        <w:t xml:space="preserve"> </w:t>
      </w:r>
      <m:oMath>
        <m:r>
          <m:t>i</m:t>
        </m:r>
      </m:oMath>
      <w:r>
        <w:t xml:space="preserve"> </w:t>
      </w:r>
      <w:r>
        <w:t xml:space="preserve">is the same forecast that we see today. This allows us to use the above pricing equation as</w:t>
      </w:r>
    </w:p>
    <w:p>
      <w:pPr>
        <w:pStyle w:val="BodyText"/>
      </w:pPr>
      <m:oMathPara>
        <m:oMathParaPr>
          <m:jc m:val="center"/>
        </m:oMathParaPr>
        <m:oMath>
          <m:sSub>
            <m:e>
              <m:r>
                <m:t>E</m:t>
              </m:r>
            </m:e>
            <m:sub>
              <m:r>
                <m:t>t</m:t>
              </m:r>
            </m:sub>
          </m:sSub>
          <m:r>
            <m:rPr>
              <m:sty m:val="p"/>
            </m:rPr>
            <m:t>(</m:t>
          </m:r>
          <m:sSub>
            <m:e>
              <m:r>
                <m:t>P</m:t>
              </m:r>
            </m:e>
            <m:sub>
              <m:r>
                <m:t>i</m:t>
              </m:r>
            </m:sub>
          </m:sSub>
          <m:r>
            <m:rPr>
              <m:sty m:val="p"/>
            </m:rPr>
            <m:t>)</m:t>
          </m:r>
          <m:r>
            <m:rPr>
              <m:sty m:val="p"/>
            </m:rPr>
            <m:t>=</m:t>
          </m:r>
          <m:sSubSup>
            <m:e>
              <m:r>
                <m:t>δ</m:t>
              </m:r>
            </m:e>
            <m:sub>
              <m:r>
                <m:t>0</m:t>
              </m:r>
            </m:sub>
            <m:sup>
              <m:r>
                <m:t>i</m:t>
              </m:r>
            </m:sup>
          </m:sSubSup>
          <m:r>
            <m:rPr>
              <m:sty m:val="p"/>
            </m:rPr>
            <m:t>+</m:t>
          </m:r>
          <m:sSubSup>
            <m:e>
              <m:r>
                <m:t>δ</m:t>
              </m:r>
            </m:e>
            <m:sub>
              <m:r>
                <m:t>1</m:t>
              </m:r>
            </m:sub>
            <m:sup>
              <m:r>
                <m:t>i</m:t>
              </m:r>
            </m:sup>
          </m:sSubSup>
          <m:sSub>
            <m:e>
              <m:acc>
                <m:accPr>
                  <m:chr m:val="̂"/>
                </m:accPr>
                <m:e>
                  <m:r>
                    <m:t>H</m:t>
                  </m:r>
                </m:e>
              </m:acc>
            </m:e>
            <m:sub>
              <m:r>
                <m:t>t</m:t>
              </m:r>
            </m:sub>
          </m:sSub>
          <m:r>
            <m:rPr>
              <m:sty m:val="p"/>
            </m:rPr>
            <m:t>+</m:t>
          </m:r>
          <m:sSubSup>
            <m:e>
              <m:r>
                <m:t>δ</m:t>
              </m:r>
            </m:e>
            <m:sub>
              <m:r>
                <m:t>2</m:t>
              </m:r>
            </m:sub>
            <m:sup>
              <m:r>
                <m:t>i</m:t>
              </m:r>
            </m:sup>
          </m:sSubSup>
          <m:sSub>
            <m:e>
              <m:acc>
                <m:accPr>
                  <m:chr m:val="̂"/>
                </m:accPr>
                <m:e>
                  <m:r>
                    <m:t>D</m:t>
                  </m:r>
                </m:e>
              </m:acc>
            </m:e>
            <m:sub>
              <m:r>
                <m:t>t</m:t>
              </m:r>
            </m:sub>
          </m:sSub>
        </m:oMath>
      </m:oMathPara>
    </w:p>
    <w:p>
      <w:pPr>
        <w:pStyle w:val="FirstParagraph"/>
      </w:pPr>
      <w:r>
        <w:t xml:space="preserve">In words, the expected value of the spot price in a future period can be obtained by substituting the current forecasts for</w:t>
      </w:r>
      <w:r>
        <w:t xml:space="preserve"> </w:t>
      </w:r>
      <m:oMath>
        <m:sSub>
          <m:e>
            <m:r>
              <m:t>H</m:t>
            </m:r>
          </m:e>
          <m:sub>
            <m:r>
              <m:t>5</m:t>
            </m:r>
          </m:sub>
        </m:sSub>
      </m:oMath>
      <w:r>
        <w:t xml:space="preserve"> </w:t>
      </w:r>
      <w:r>
        <w:t xml:space="preserve">and</w:t>
      </w:r>
      <w:r>
        <w:t xml:space="preserve"> </w:t>
      </w:r>
      <m:oMath>
        <m:r>
          <m:t>D</m:t>
        </m:r>
      </m:oMath>
      <w:r>
        <w:t xml:space="preserve"> </w:t>
      </w:r>
      <w:r>
        <w:t xml:space="preserve">into the pricing equation that we derived in the previous module.</w:t>
      </w:r>
    </w:p>
    <w:bookmarkEnd w:id="21"/>
    <w:bookmarkStart w:id="22" w:name="futures-price-and-forward-curve"/>
    <w:p>
      <w:pPr>
        <w:pStyle w:val="Heading2"/>
      </w:pPr>
      <w:r>
        <w:t xml:space="preserve">Futures Price and Forward Curve</w:t>
      </w:r>
    </w:p>
    <w:p>
      <w:pPr>
        <w:pStyle w:val="FirstParagraph"/>
      </w:pPr>
      <w:r>
        <w:t xml:space="preserve">We can derive a formal expression for the futures price. Let</w:t>
      </w:r>
      <w:r>
        <w:t xml:space="preserve"> </w:t>
      </w:r>
      <m:oMath>
        <m:sSubSup>
          <m:e>
            <m:r>
              <m:t>F</m:t>
            </m:r>
          </m:e>
          <m:sub>
            <m:r>
              <m:t>t</m:t>
            </m:r>
          </m:sub>
          <m:sup>
            <m:r>
              <m:t>i</m:t>
            </m:r>
          </m:sup>
        </m:sSubSup>
      </m:oMath>
      <w:r>
        <w:t xml:space="preserve"> </w:t>
      </w:r>
      <w:r>
        <w:t xml:space="preserve">denote the quarter</w:t>
      </w:r>
      <w:r>
        <w:t xml:space="preserve"> </w:t>
      </w:r>
      <m:oMath>
        <m:r>
          <m:t>t</m:t>
        </m:r>
      </m:oMath>
      <w:r>
        <w:t xml:space="preserve"> </w:t>
      </w:r>
      <w:r>
        <w:t xml:space="preserve">price of a futures contract which expires in quarter</w:t>
      </w:r>
      <w:r>
        <w:t xml:space="preserve"> </w:t>
      </w:r>
      <m:oMath>
        <m:r>
          <m:t>i</m:t>
        </m:r>
      </m:oMath>
      <w:r>
        <w:t xml:space="preserve">. Using the previous equation we have</w:t>
      </w:r>
    </w:p>
    <w:p>
      <w:pPr>
        <w:pStyle w:val="BodyText"/>
      </w:pPr>
      <m:oMathPara>
        <m:oMathParaPr>
          <m:jc m:val="center"/>
        </m:oMathParaPr>
        <m:oMath>
          <m:sSubSup>
            <m:e>
              <m:r>
                <m:t>F</m:t>
              </m:r>
            </m:e>
            <m:sub>
              <m:r>
                <m:t>t</m:t>
              </m:r>
            </m:sub>
            <m:sup>
              <m:r>
                <m:t>i</m:t>
              </m:r>
            </m:sup>
          </m:sSubSup>
          <m:r>
            <m:rPr>
              <m:sty m:val="p"/>
            </m:rPr>
            <m:t>=</m:t>
          </m:r>
          <m:sSub>
            <m:e>
              <m:r>
                <m:t>E</m:t>
              </m:r>
            </m:e>
            <m:sub>
              <m:r>
                <m:t>t</m:t>
              </m:r>
            </m:sub>
          </m:sSub>
          <m:r>
            <m:rPr>
              <m:sty m:val="p"/>
            </m:rPr>
            <m:t>(</m:t>
          </m:r>
          <m:sSub>
            <m:e>
              <m:r>
                <m:t>P</m:t>
              </m:r>
            </m:e>
            <m:sub>
              <m:r>
                <m:t>i</m:t>
              </m:r>
            </m:sub>
          </m:sSub>
          <m:r>
            <m:rPr>
              <m:sty m:val="p"/>
            </m:rPr>
            <m:t>)</m:t>
          </m:r>
          <m:r>
            <m:rPr>
              <m:sty m:val="p"/>
            </m:rPr>
            <m:t>=</m:t>
          </m:r>
          <m:sSubSup>
            <m:e>
              <m:r>
                <m:t>δ</m:t>
              </m:r>
            </m:e>
            <m:sub>
              <m:r>
                <m:t>0</m:t>
              </m:r>
            </m:sub>
            <m:sup>
              <m:r>
                <m:t>i</m:t>
              </m:r>
            </m:sup>
          </m:sSubSup>
          <m:r>
            <m:rPr>
              <m:sty m:val="p"/>
            </m:rPr>
            <m:t>+</m:t>
          </m:r>
          <m:sSubSup>
            <m:e>
              <m:r>
                <m:t>δ</m:t>
              </m:r>
            </m:e>
            <m:sub>
              <m:r>
                <m:t>1</m:t>
              </m:r>
            </m:sub>
            <m:sup>
              <m:r>
                <m:t>i</m:t>
              </m:r>
            </m:sup>
          </m:sSubSup>
          <m:sSub>
            <m:e>
              <m:acc>
                <m:accPr>
                  <m:chr m:val="̂"/>
                </m:accPr>
                <m:e>
                  <m:r>
                    <m:t>H</m:t>
                  </m:r>
                </m:e>
              </m:acc>
            </m:e>
            <m:sub>
              <m:r>
                <m:t>t</m:t>
              </m:r>
            </m:sub>
          </m:sSub>
          <m:r>
            <m:rPr>
              <m:sty m:val="p"/>
            </m:rPr>
            <m:t>+</m:t>
          </m:r>
          <m:sSubSup>
            <m:e>
              <m:r>
                <m:t>δ</m:t>
              </m:r>
            </m:e>
            <m:sub>
              <m:r>
                <m:t>2</m:t>
              </m:r>
            </m:sub>
            <m:sup>
              <m:r>
                <m:t>i</m:t>
              </m:r>
            </m:sup>
          </m:sSubSup>
          <m:sSub>
            <m:e>
              <m:acc>
                <m:accPr>
                  <m:chr m:val="̂"/>
                </m:accPr>
                <m:e>
                  <m:r>
                    <m:t>D</m:t>
                  </m:r>
                </m:e>
              </m:acc>
            </m:e>
            <m:sub>
              <m:r>
                <m:t>t</m:t>
              </m:r>
            </m:sub>
          </m:sSub>
        </m:oMath>
      </m:oMathPara>
    </w:p>
    <w:p>
      <w:pPr>
        <w:pStyle w:val="FirstParagraph"/>
      </w:pPr>
      <w:r>
        <w:t xml:space="preserve">We know that</w:t>
      </w:r>
      <w:r>
        <w:t xml:space="preserve"> </w:t>
      </w:r>
      <m:oMath>
        <m:sSubSup>
          <m:e>
            <m:r>
              <m:t>F</m:t>
            </m:r>
          </m:e>
          <m:sub>
            <m:r>
              <m:t>t</m:t>
            </m:r>
          </m:sub>
          <m:sup>
            <m:r>
              <m:t>t</m:t>
            </m:r>
          </m:sup>
        </m:sSubSup>
        <m:r>
          <m:rPr>
            <m:sty m:val="p"/>
          </m:rPr>
          <m:t>=</m:t>
        </m:r>
        <m:sSub>
          <m:e>
            <m:r>
              <m:t>P</m:t>
            </m:r>
          </m:e>
          <m:sub>
            <m:r>
              <m:t>t</m:t>
            </m:r>
          </m:sub>
        </m:sSub>
      </m:oMath>
      <w:r>
        <w:t xml:space="preserve"> </w:t>
      </w:r>
      <w:r>
        <w:t xml:space="preserve">because due to arbitrage the futures price must equal the Chicago spot price when the futures contract expires.</w:t>
      </w:r>
    </w:p>
    <w:p>
      <w:pPr>
        <w:pStyle w:val="BodyText"/>
      </w:pPr>
      <w:r>
        <w:t xml:space="preserve">The quarter</w:t>
      </w:r>
      <w:r>
        <w:t xml:space="preserve"> </w:t>
      </w:r>
      <m:oMath>
        <m:r>
          <m:t>t</m:t>
        </m:r>
      </m:oMath>
      <w:r>
        <w:t xml:space="preserve"> </w:t>
      </w:r>
      <w:r>
        <w:t xml:space="preserve">forward curve is the collection of prices for all contracts which are actively trading during that quarter. For example, in Q4 there are four active futures contracts: Q5, Q6, Q7 and Q8. Thus, the Q4 forward curve has the following four prices:</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F</m:t>
                    </m:r>
                  </m:e>
                  <m:sub>
                    <m:r>
                      <m:t>4</m:t>
                    </m:r>
                  </m:sub>
                  <m:sup>
                    <m:r>
                      <m:t>5</m:t>
                    </m:r>
                  </m:sup>
                </m:sSubSup>
              </m:e>
              <m:e>
                <m:r>
                  <m:rPr>
                    <m:sty m:val="p"/>
                  </m:rPr>
                  <m:t>=</m:t>
                </m:r>
                <m:r>
                  <m:rPr>
                    <m:sty m:val="p"/>
                  </m:rPr>
                  <m:t>=</m:t>
                </m:r>
                <m:sSubSup>
                  <m:e>
                    <m:r>
                      <m:t>δ</m:t>
                    </m:r>
                  </m:e>
                  <m:sub>
                    <m:r>
                      <m:t>0</m:t>
                    </m:r>
                  </m:sub>
                  <m:sup>
                    <m:r>
                      <m:t>5</m:t>
                    </m:r>
                  </m:sup>
                </m:sSubSup>
                <m:r>
                  <m:rPr>
                    <m:sty m:val="p"/>
                  </m:rPr>
                  <m:t>+</m:t>
                </m:r>
                <m:sSubSup>
                  <m:e>
                    <m:r>
                      <m:t>δ</m:t>
                    </m:r>
                  </m:e>
                  <m:sub>
                    <m:r>
                      <m:t>1</m:t>
                    </m:r>
                  </m:sub>
                  <m:sup>
                    <m:r>
                      <m:t>5</m:t>
                    </m:r>
                  </m:sup>
                </m:sSubSup>
                <m:sSub>
                  <m:e>
                    <m:acc>
                      <m:accPr>
                        <m:chr m:val="̂"/>
                      </m:accPr>
                      <m:e>
                        <m:r>
                          <m:t>H</m:t>
                        </m:r>
                      </m:e>
                    </m:acc>
                  </m:e>
                  <m:sub>
                    <m:r>
                      <m:t>4</m:t>
                    </m:r>
                  </m:sub>
                </m:sSub>
                <m:r>
                  <m:rPr>
                    <m:sty m:val="p"/>
                  </m:rPr>
                  <m:t>+</m:t>
                </m:r>
                <m:sSubSup>
                  <m:e>
                    <m:r>
                      <m:t>δ</m:t>
                    </m:r>
                  </m:e>
                  <m:sub>
                    <m:r>
                      <m:t>2</m:t>
                    </m:r>
                  </m:sub>
                  <m:sup>
                    <m:r>
                      <m:t>5</m:t>
                    </m:r>
                  </m:sup>
                </m:sSubSup>
                <m:sSub>
                  <m:e>
                    <m:acc>
                      <m:accPr>
                        <m:chr m:val="̂"/>
                      </m:accPr>
                      <m:e>
                        <m:r>
                          <m:t>D</m:t>
                        </m:r>
                      </m:e>
                    </m:acc>
                  </m:e>
                  <m:sub>
                    <m:r>
                      <m:t>4</m:t>
                    </m:r>
                  </m:sub>
                </m:sSub>
              </m:e>
            </m:mr>
            <m:mr>
              <m:e>
                <m:sSubSup>
                  <m:e>
                    <m:r>
                      <m:t>F</m:t>
                    </m:r>
                  </m:e>
                  <m:sub>
                    <m:r>
                      <m:t>4</m:t>
                    </m:r>
                  </m:sub>
                  <m:sup>
                    <m:r>
                      <m:t>6</m:t>
                    </m:r>
                  </m:sup>
                </m:sSubSup>
              </m:e>
              <m:e>
                <m:r>
                  <m:rPr>
                    <m:sty m:val="p"/>
                  </m:rPr>
                  <m:t>=</m:t>
                </m:r>
                <m:r>
                  <m:rPr>
                    <m:sty m:val="p"/>
                  </m:rPr>
                  <m:t>=</m:t>
                </m:r>
                <m:sSubSup>
                  <m:e>
                    <m:r>
                      <m:t>δ</m:t>
                    </m:r>
                  </m:e>
                  <m:sub>
                    <m:r>
                      <m:t>0</m:t>
                    </m:r>
                  </m:sub>
                  <m:sup>
                    <m:r>
                      <m:t>6</m:t>
                    </m:r>
                  </m:sup>
                </m:sSubSup>
                <m:r>
                  <m:rPr>
                    <m:sty m:val="p"/>
                  </m:rPr>
                  <m:t>+</m:t>
                </m:r>
                <m:sSubSup>
                  <m:e>
                    <m:r>
                      <m:t>δ</m:t>
                    </m:r>
                  </m:e>
                  <m:sub>
                    <m:r>
                      <m:t>1</m:t>
                    </m:r>
                  </m:sub>
                  <m:sup>
                    <m:r>
                      <m:t>6</m:t>
                    </m:r>
                  </m:sup>
                </m:sSubSup>
                <m:sSub>
                  <m:e>
                    <m:acc>
                      <m:accPr>
                        <m:chr m:val="̂"/>
                      </m:accPr>
                      <m:e>
                        <m:r>
                          <m:t>H</m:t>
                        </m:r>
                      </m:e>
                    </m:acc>
                  </m:e>
                  <m:sub>
                    <m:r>
                      <m:t>4</m:t>
                    </m:r>
                  </m:sub>
                </m:sSub>
                <m:r>
                  <m:rPr>
                    <m:sty m:val="p"/>
                  </m:rPr>
                  <m:t>+</m:t>
                </m:r>
                <m:sSubSup>
                  <m:e>
                    <m:r>
                      <m:t>δ</m:t>
                    </m:r>
                  </m:e>
                  <m:sub>
                    <m:r>
                      <m:t>2</m:t>
                    </m:r>
                  </m:sub>
                  <m:sup>
                    <m:r>
                      <m:t>6</m:t>
                    </m:r>
                  </m:sup>
                </m:sSubSup>
                <m:sSub>
                  <m:e>
                    <m:acc>
                      <m:accPr>
                        <m:chr m:val="̂"/>
                      </m:accPr>
                      <m:e>
                        <m:r>
                          <m:t>D</m:t>
                        </m:r>
                      </m:e>
                    </m:acc>
                  </m:e>
                  <m:sub>
                    <m:r>
                      <m:t>4</m:t>
                    </m:r>
                  </m:sub>
                </m:sSub>
              </m:e>
            </m:mr>
            <m:mr>
              <m:e>
                <m:sSubSup>
                  <m:e>
                    <m:r>
                      <m:t>F</m:t>
                    </m:r>
                  </m:e>
                  <m:sub>
                    <m:r>
                      <m:t>4</m:t>
                    </m:r>
                  </m:sub>
                  <m:sup>
                    <m:r>
                      <m:t>7</m:t>
                    </m:r>
                  </m:sup>
                </m:sSubSup>
              </m:e>
              <m:e>
                <m:r>
                  <m:rPr>
                    <m:sty m:val="p"/>
                  </m:rPr>
                  <m:t>=</m:t>
                </m:r>
                <m:r>
                  <m:rPr>
                    <m:sty m:val="p"/>
                  </m:rPr>
                  <m:t>=</m:t>
                </m:r>
                <m:sSubSup>
                  <m:e>
                    <m:r>
                      <m:t>δ</m:t>
                    </m:r>
                  </m:e>
                  <m:sub>
                    <m:r>
                      <m:t>0</m:t>
                    </m:r>
                  </m:sub>
                  <m:sup>
                    <m:r>
                      <m:t>7</m:t>
                    </m:r>
                  </m:sup>
                </m:sSubSup>
                <m:r>
                  <m:rPr>
                    <m:sty m:val="p"/>
                  </m:rPr>
                  <m:t>+</m:t>
                </m:r>
                <m:sSubSup>
                  <m:e>
                    <m:r>
                      <m:t>δ</m:t>
                    </m:r>
                  </m:e>
                  <m:sub>
                    <m:r>
                      <m:t>1</m:t>
                    </m:r>
                  </m:sub>
                  <m:sup>
                    <m:r>
                      <m:t>7</m:t>
                    </m:r>
                  </m:sup>
                </m:sSubSup>
                <m:sSub>
                  <m:e>
                    <m:acc>
                      <m:accPr>
                        <m:chr m:val="̂"/>
                      </m:accPr>
                      <m:e>
                        <m:r>
                          <m:t>H</m:t>
                        </m:r>
                      </m:e>
                    </m:acc>
                  </m:e>
                  <m:sub>
                    <m:r>
                      <m:t>4</m:t>
                    </m:r>
                  </m:sub>
                </m:sSub>
                <m:r>
                  <m:rPr>
                    <m:sty m:val="p"/>
                  </m:rPr>
                  <m:t>+</m:t>
                </m:r>
                <m:sSubSup>
                  <m:e>
                    <m:r>
                      <m:t>δ</m:t>
                    </m:r>
                  </m:e>
                  <m:sub>
                    <m:r>
                      <m:t>2</m:t>
                    </m:r>
                  </m:sub>
                  <m:sup>
                    <m:r>
                      <m:t>7</m:t>
                    </m:r>
                  </m:sup>
                </m:sSubSup>
                <m:sSub>
                  <m:e>
                    <m:acc>
                      <m:accPr>
                        <m:chr m:val="̂"/>
                      </m:accPr>
                      <m:e>
                        <m:r>
                          <m:t>D</m:t>
                        </m:r>
                      </m:e>
                    </m:acc>
                  </m:e>
                  <m:sub>
                    <m:r>
                      <m:t>4</m:t>
                    </m:r>
                  </m:sub>
                </m:sSub>
              </m:e>
            </m:mr>
            <m:mr>
              <m:e>
                <m:sSubSup>
                  <m:e>
                    <m:r>
                      <m:t>F</m:t>
                    </m:r>
                  </m:e>
                  <m:sub>
                    <m:r>
                      <m:t>4</m:t>
                    </m:r>
                  </m:sub>
                  <m:sup>
                    <m:r>
                      <m:t>8</m:t>
                    </m:r>
                  </m:sup>
                </m:sSubSup>
              </m:e>
              <m:e>
                <m:r>
                  <m:rPr>
                    <m:sty m:val="p"/>
                  </m:rPr>
                  <m:t>=</m:t>
                </m:r>
                <m:r>
                  <m:rPr>
                    <m:sty m:val="p"/>
                  </m:rPr>
                  <m:t>=</m:t>
                </m:r>
                <m:sSubSup>
                  <m:e>
                    <m:r>
                      <m:t>δ</m:t>
                    </m:r>
                  </m:e>
                  <m:sub>
                    <m:r>
                      <m:t>0</m:t>
                    </m:r>
                  </m:sub>
                  <m:sup>
                    <m:r>
                      <m:t>8</m:t>
                    </m:r>
                  </m:sup>
                </m:sSubSup>
                <m:r>
                  <m:rPr>
                    <m:sty m:val="p"/>
                  </m:rPr>
                  <m:t>+</m:t>
                </m:r>
                <m:sSubSup>
                  <m:e>
                    <m:r>
                      <m:t>δ</m:t>
                    </m:r>
                  </m:e>
                  <m:sub>
                    <m:r>
                      <m:t>1</m:t>
                    </m:r>
                  </m:sub>
                  <m:sup>
                    <m:r>
                      <m:t>8</m:t>
                    </m:r>
                  </m:sup>
                </m:sSubSup>
                <m:sSub>
                  <m:e>
                    <m:acc>
                      <m:accPr>
                        <m:chr m:val="̂"/>
                      </m:accPr>
                      <m:e>
                        <m:r>
                          <m:t>H</m:t>
                        </m:r>
                      </m:e>
                    </m:acc>
                  </m:e>
                  <m:sub>
                    <m:r>
                      <m:t>4</m:t>
                    </m:r>
                  </m:sub>
                </m:sSub>
                <m:r>
                  <m:rPr>
                    <m:sty m:val="p"/>
                  </m:rPr>
                  <m:t>+</m:t>
                </m:r>
                <m:sSubSup>
                  <m:e>
                    <m:r>
                      <m:t>δ</m:t>
                    </m:r>
                  </m:e>
                  <m:sub>
                    <m:r>
                      <m:t>2</m:t>
                    </m:r>
                  </m:sub>
                  <m:sup>
                    <m:r>
                      <m:t>8</m:t>
                    </m:r>
                  </m:sup>
                </m:sSubSup>
                <m:sSub>
                  <m:e>
                    <m:acc>
                      <m:accPr>
                        <m:chr m:val="̂"/>
                      </m:accPr>
                      <m:e>
                        <m:r>
                          <m:t>D</m:t>
                        </m:r>
                      </m:e>
                    </m:acc>
                  </m:e>
                  <m:sub>
                    <m:r>
                      <m:t>4</m:t>
                    </m:r>
                  </m:sub>
                </m:sSub>
              </m:e>
            </m:mr>
          </m:m>
        </m:oMath>
      </m:oMathPara>
    </w:p>
    <w:p>
      <w:pPr>
        <w:pStyle w:val="FirstParagraph"/>
      </w:pPr>
      <w:r>
        <w:t xml:space="preserve">It should be obvious that the forward curve is equivalent to the set of expected spot prices. This means that the shape of the forward curve is the same as the pattern of spot prices over time that we examined in the last module. Specifcially, the forward curve will slope up for those quarters for which the spot price is rising, and will slope down for those periods for which the spot price is falling. This will be apparent when the simulated forward curve is examined below.</w:t>
      </w:r>
    </w:p>
    <w:p>
      <w:pPr>
        <w:pStyle w:val="BodyText"/>
      </w:pPr>
      <w:r>
        <w:t xml:space="preserve">It is important to keep in mind that the quarter</w:t>
      </w:r>
      <w:r>
        <w:t xml:space="preserve"> </w:t>
      </w:r>
      <m:oMath>
        <m:r>
          <m:t>t</m:t>
        </m:r>
      </m:oMath>
      <w:r>
        <w:t xml:space="preserve"> </w:t>
      </w:r>
      <w:r>
        <w:t xml:space="preserve">spot price, which is given by = $P_t=</w:t>
      </w:r>
      <w:r>
        <w:t xml:space="preserve"> </w:t>
      </w:r>
      <w:r>
        <w:t xml:space="preserve">_0^t +</w:t>
      </w:r>
      <w:r>
        <w:t xml:space="preserve"> </w:t>
      </w:r>
      <w:r>
        <w:t xml:space="preserve">_1^t</w:t>
      </w:r>
      <w:r>
        <w:t xml:space="preserve"> </w:t>
      </w:r>
      <w:r>
        <w:t xml:space="preserve">H_t +</w:t>
      </w:r>
      <w:r>
        <w:t xml:space="preserve"> </w:t>
      </w:r>
      <w:r>
        <w:t xml:space="preserve">_2^t</w:t>
      </w:r>
      <w:r>
        <w:t xml:space="preserve"> </w:t>
      </w:r>
      <w:r>
        <w:t xml:space="preserve">D_t $, and the quarter</w:t>
      </w:r>
      <w:r>
        <w:t xml:space="preserve"> </w:t>
      </w:r>
      <m:oMath>
        <m:r>
          <m:t>t</m:t>
        </m:r>
      </m:oMath>
      <w:r>
        <w:t xml:space="preserve"> </w:t>
      </w:r>
      <w:r>
        <w:t xml:space="preserve">futures price, which is given by</w:t>
      </w:r>
      <w:r>
        <w:t xml:space="preserve"> </w:t>
      </w:r>
      <m:oMath>
        <m:sSubSup>
          <m:e>
            <m:r>
              <m:t>F</m:t>
            </m:r>
          </m:e>
          <m:sub>
            <m:r>
              <m:t>t</m:t>
            </m:r>
          </m:sub>
          <m:sup>
            <m:r>
              <m:t>i</m:t>
            </m:r>
          </m:sup>
        </m:sSubSup>
        <m:r>
          <m:rPr>
            <m:sty m:val="p"/>
          </m:rPr>
          <m:t>=</m:t>
        </m:r>
        <m:sSub>
          <m:e>
            <m:r>
              <m:t>E</m:t>
            </m:r>
          </m:e>
          <m:sub>
            <m:r>
              <m:t>t</m:t>
            </m:r>
          </m:sub>
        </m:sSub>
        <m:r>
          <m:rPr>
            <m:sty m:val="p"/>
          </m:rPr>
          <m:t>(</m:t>
        </m:r>
        <m:sSub>
          <m:e>
            <m:r>
              <m:t>P</m:t>
            </m:r>
          </m:e>
          <m:sub>
            <m:r>
              <m:t>i</m:t>
            </m:r>
          </m:sub>
        </m:sSub>
        <m:r>
          <m:rPr>
            <m:sty m:val="p"/>
          </m:rPr>
          <m:t>)</m:t>
        </m:r>
        <m:r>
          <m:rPr>
            <m:sty m:val="p"/>
          </m:rPr>
          <m:t>=</m:t>
        </m:r>
        <m:sSubSup>
          <m:e>
            <m:r>
              <m:t>δ</m:t>
            </m:r>
          </m:e>
          <m:sub>
            <m:r>
              <m:t>0</m:t>
            </m:r>
          </m:sub>
          <m:sup>
            <m:r>
              <m:t>i</m:t>
            </m:r>
          </m:sup>
        </m:sSubSup>
        <m:r>
          <m:rPr>
            <m:sty m:val="p"/>
          </m:rPr>
          <m:t>+</m:t>
        </m:r>
        <m:sSubSup>
          <m:e>
            <m:r>
              <m:t>δ</m:t>
            </m:r>
          </m:e>
          <m:sub>
            <m:r>
              <m:t>1</m:t>
            </m:r>
          </m:sub>
          <m:sup>
            <m:r>
              <m:t>i</m:t>
            </m:r>
          </m:sup>
        </m:sSubSup>
        <m:sSub>
          <m:e>
            <m:acc>
              <m:accPr>
                <m:chr m:val="̂"/>
              </m:accPr>
              <m:e>
                <m:r>
                  <m:t>H</m:t>
                </m:r>
              </m:e>
            </m:acc>
          </m:e>
          <m:sub>
            <m:r>
              <m:t>t</m:t>
            </m:r>
          </m:sub>
        </m:sSub>
        <m:r>
          <m:rPr>
            <m:sty m:val="p"/>
          </m:rPr>
          <m:t>+</m:t>
        </m:r>
        <m:sSubSup>
          <m:e>
            <m:r>
              <m:t>δ</m:t>
            </m:r>
          </m:e>
          <m:sub>
            <m:r>
              <m:t>2</m:t>
            </m:r>
          </m:sub>
          <m:sup>
            <m:r>
              <m:t>i</m:t>
            </m:r>
          </m:sup>
        </m:sSubSup>
        <m:sSub>
          <m:e>
            <m:acc>
              <m:accPr>
                <m:chr m:val="̂"/>
              </m:accPr>
              <m:e>
                <m:r>
                  <m:t>D</m:t>
                </m:r>
              </m:e>
            </m:acc>
          </m:e>
          <m:sub>
            <m:r>
              <m:t>t</m:t>
            </m:r>
          </m:sub>
        </m:sSub>
      </m:oMath>
      <w:r>
        <w:t xml:space="preserve">, are both stochastic and are highly positively correlated. This can be seen if the expressions are rewritten as</w:t>
      </w:r>
    </w:p>
    <w:p>
      <w:pPr>
        <w:pStyle w:val="BodyText"/>
      </w:pPr>
      <m:oMathPara>
        <m:oMathParaPr>
          <m:jc m:val="center"/>
        </m:oMathParaPr>
        <m:oMath>
          <m:sSub>
            <m:e>
              <m:r>
                <m:t>P</m:t>
              </m:r>
            </m:e>
            <m:sub>
              <m:r>
                <m:t>t</m:t>
              </m:r>
              <m:r>
                <m:rPr>
                  <m:sty m:val="p"/>
                </m:rPr>
                <m:t>+</m:t>
              </m:r>
              <m:r>
                <m:t>1</m:t>
              </m:r>
            </m:sub>
          </m:sSub>
          <m:r>
            <m:rPr>
              <m:sty m:val="p"/>
            </m:rPr>
            <m:t>=</m:t>
          </m:r>
          <m:sSubSup>
            <m:e>
              <m:r>
                <m:t>δ</m:t>
              </m:r>
            </m:e>
            <m:sub>
              <m:r>
                <m:t>0</m:t>
              </m:r>
            </m:sub>
            <m:sup>
              <m:r>
                <m:t>t</m:t>
              </m:r>
            </m:sup>
          </m:sSubSup>
          <m:r>
            <m:rPr>
              <m:sty m:val="p"/>
            </m:rPr>
            <m:t>+</m:t>
          </m:r>
          <m:sSubSup>
            <m:e>
              <m:r>
                <m:t>δ</m:t>
              </m:r>
            </m:e>
            <m:sub>
              <m:r>
                <m:t>1</m:t>
              </m:r>
            </m:sub>
            <m:sup>
              <m:r>
                <m:t>t</m:t>
              </m:r>
            </m:sup>
          </m:sSubSup>
          <m:r>
            <m:rPr>
              <m:sty m:val="p"/>
            </m:rPr>
            <m:t>(</m:t>
          </m:r>
          <m:sSub>
            <m:e>
              <m:acc>
                <m:accPr>
                  <m:chr m:val="̂"/>
                </m:accPr>
                <m:e>
                  <m:r>
                    <m:t>H</m:t>
                  </m:r>
                </m:e>
              </m:acc>
            </m:e>
            <m:sub>
              <m:r>
                <m:t>t</m:t>
              </m:r>
            </m:sub>
          </m:sSub>
          <m:r>
            <m:rPr>
              <m:sty m:val="p"/>
            </m:rPr>
            <m:t>+</m:t>
          </m:r>
          <m:sSubSup>
            <m:e>
              <m:r>
                <m:t>ϵ</m:t>
              </m:r>
            </m:e>
            <m:sub>
              <m:r>
                <m:t>t</m:t>
              </m:r>
            </m:sub>
            <m:sup>
              <m:r>
                <m:t>H</m:t>
              </m:r>
            </m:sup>
          </m:sSubSup>
          <m:r>
            <m:rPr>
              <m:sty m:val="p"/>
            </m:rPr>
            <m:t>)</m:t>
          </m:r>
          <m:r>
            <m:rPr>
              <m:sty m:val="p"/>
            </m:rPr>
            <m:t>+</m:t>
          </m:r>
          <m:sSubSup>
            <m:e>
              <m:r>
                <m:t>δ</m:t>
              </m:r>
            </m:e>
            <m:sub>
              <m:r>
                <m:t>2</m:t>
              </m:r>
            </m:sub>
            <m:sup>
              <m:r>
                <m:t>t</m:t>
              </m:r>
            </m:sup>
          </m:sSubSup>
          <m:r>
            <m:rPr>
              <m:sty m:val="p"/>
            </m:rPr>
            <m:t>(</m:t>
          </m:r>
          <m:sSub>
            <m:e>
              <m:acc>
                <m:accPr>
                  <m:chr m:val="̂"/>
                </m:accPr>
                <m:e>
                  <m:r>
                    <m:t>D</m:t>
                  </m:r>
                </m:e>
              </m:acc>
            </m:e>
            <m:sub>
              <m:r>
                <m:t>t</m:t>
              </m:r>
            </m:sub>
          </m:sSub>
          <m:r>
            <m:rPr>
              <m:sty m:val="p"/>
            </m:rPr>
            <m:t>+</m:t>
          </m:r>
          <m:sSubSup>
            <m:e>
              <m:r>
                <m:t>ϵ</m:t>
              </m:r>
            </m:e>
            <m:sub>
              <m:r>
                <m:t>t</m:t>
              </m:r>
            </m:sub>
            <m:sup>
              <m:r>
                <m:t>D</m:t>
              </m:r>
            </m:sup>
          </m:sSubSup>
          <m:r>
            <m:rPr>
              <m:sty m:val="p"/>
            </m:rPr>
            <m:t>)</m:t>
          </m:r>
        </m:oMath>
      </m:oMathPara>
    </w:p>
    <w:p>
      <w:pPr>
        <w:pStyle w:val="FirstParagraph"/>
      </w:pPr>
      <w:r>
        <w:t xml:space="preserve">and</w:t>
      </w:r>
    </w:p>
    <w:p>
      <w:pPr>
        <w:pStyle w:val="BodyText"/>
      </w:pPr>
      <m:oMathPara>
        <m:oMathParaPr>
          <m:jc m:val="center"/>
        </m:oMathParaPr>
        <m:oMath>
          <m:sSubSup>
            <m:e>
              <m:r>
                <m:t>F</m:t>
              </m:r>
            </m:e>
            <m:sub>
              <m:r>
                <m:t>t</m:t>
              </m:r>
              <m:r>
                <m:rPr>
                  <m:sty m:val="p"/>
                </m:rPr>
                <m:t>+</m:t>
              </m:r>
              <m:r>
                <m:t>1</m:t>
              </m:r>
            </m:sub>
            <m:sup>
              <m:r>
                <m:t>i</m:t>
              </m:r>
            </m:sup>
          </m:sSubSup>
          <m:r>
            <m:rPr>
              <m:sty m:val="p"/>
            </m:rPr>
            <m:t>=</m:t>
          </m:r>
          <m:sSubSup>
            <m:e>
              <m:r>
                <m:t>δ</m:t>
              </m:r>
            </m:e>
            <m:sub>
              <m:r>
                <m:t>0</m:t>
              </m:r>
            </m:sub>
            <m:sup>
              <m:r>
                <m:t>i</m:t>
              </m:r>
            </m:sup>
          </m:sSubSup>
          <m:r>
            <m:rPr>
              <m:sty m:val="p"/>
            </m:rPr>
            <m:t>+</m:t>
          </m:r>
          <m:sSubSup>
            <m:e>
              <m:r>
                <m:t>δ</m:t>
              </m:r>
            </m:e>
            <m:sub>
              <m:r>
                <m:t>1</m:t>
              </m:r>
            </m:sub>
            <m:sup>
              <m:r>
                <m:t>i</m:t>
              </m:r>
            </m:sup>
          </m:sSubSup>
          <m:r>
            <m:rPr>
              <m:sty m:val="p"/>
            </m:rPr>
            <m:t>(</m:t>
          </m:r>
          <m:sSub>
            <m:e>
              <m:acc>
                <m:accPr>
                  <m:chr m:val="̂"/>
                </m:accPr>
                <m:e>
                  <m:r>
                    <m:t>H</m:t>
                  </m:r>
                </m:e>
              </m:acc>
            </m:e>
            <m:sub>
              <m:r>
                <m:t>t</m:t>
              </m:r>
            </m:sub>
          </m:sSub>
          <m:r>
            <m:rPr>
              <m:sty m:val="p"/>
            </m:rPr>
            <m:t>+</m:t>
          </m:r>
          <m:sSubSup>
            <m:e>
              <m:r>
                <m:t>ϵ</m:t>
              </m:r>
            </m:e>
            <m:sub>
              <m:r>
                <m:t>t</m:t>
              </m:r>
            </m:sub>
            <m:sup>
              <m:r>
                <m:t>H</m:t>
              </m:r>
            </m:sup>
          </m:sSubSup>
          <m:r>
            <m:rPr>
              <m:sty m:val="p"/>
            </m:rPr>
            <m:t>)</m:t>
          </m:r>
          <m:r>
            <m:rPr>
              <m:sty m:val="p"/>
            </m:rPr>
            <m:t>+</m:t>
          </m:r>
          <m:sSubSup>
            <m:e>
              <m:r>
                <m:t>δ</m:t>
              </m:r>
            </m:e>
            <m:sub>
              <m:r>
                <m:t>2</m:t>
              </m:r>
            </m:sub>
            <m:sup>
              <m:r>
                <m:t>i</m:t>
              </m:r>
            </m:sup>
          </m:sSubSup>
          <m:r>
            <m:rPr>
              <m:sty m:val="p"/>
            </m:rPr>
            <m:t>(</m:t>
          </m:r>
          <m:sSub>
            <m:e>
              <m:acc>
                <m:accPr>
                  <m:chr m:val="̂"/>
                </m:accPr>
                <m:e>
                  <m:r>
                    <m:t>D</m:t>
                  </m:r>
                </m:e>
              </m:acc>
            </m:e>
            <m:sub>
              <m:r>
                <m:t>t</m:t>
              </m:r>
            </m:sub>
          </m:sSub>
          <m:r>
            <m:rPr>
              <m:sty m:val="p"/>
            </m:rPr>
            <m:t>+</m:t>
          </m:r>
          <m:sSubSup>
            <m:e>
              <m:r>
                <m:t>ϵ</m:t>
              </m:r>
            </m:e>
            <m:sub>
              <m:r>
                <m:t>t</m:t>
              </m:r>
            </m:sub>
            <m:sup>
              <m:r>
                <m:t>D</m:t>
              </m:r>
            </m:sup>
          </m:sSubSup>
          <m:r>
            <m:rPr>
              <m:sty m:val="p"/>
            </m:rPr>
            <m:t>)</m:t>
          </m:r>
        </m:oMath>
      </m:oMathPara>
    </w:p>
    <w:p>
      <w:pPr>
        <w:pStyle w:val="FirstParagraph"/>
      </w:pPr>
      <w:r>
        <w:t xml:space="preserve">Notice that the spot price and the futures price are subject to the same forecast shocks,</w:t>
      </w:r>
      <w:r>
        <w:t xml:space="preserve"> </w:t>
      </w:r>
      <m:oMath>
        <m:sSubSup>
          <m:e>
            <m:r>
              <m:t>ϵ</m:t>
            </m:r>
          </m:e>
          <m:sub>
            <m:r>
              <m:t>t</m:t>
            </m:r>
          </m:sub>
          <m:sup>
            <m:r>
              <m:t>H</m:t>
            </m:r>
          </m:sup>
        </m:sSubSup>
      </m:oMath>
      <w:r>
        <w:t xml:space="preserve"> </w:t>
      </w:r>
      <w:r>
        <w:t xml:space="preserve">and</w:t>
      </w:r>
      <w:r>
        <w:t xml:space="preserve"> </w:t>
      </w:r>
      <m:oMath>
        <m:sSubSup>
          <m:e>
            <m:r>
              <m:t>ϵ</m:t>
            </m:r>
          </m:e>
          <m:sub>
            <m:r>
              <m:t>t</m:t>
            </m:r>
          </m:sub>
          <m:sup>
            <m:r>
              <m:t>D</m:t>
            </m:r>
          </m:sup>
        </m:sSubSup>
      </m:oMath>
      <w:r>
        <w:t xml:space="preserve">. The response to the shock will not be identical because the the</w:t>
      </w:r>
      <w:r>
        <w:t xml:space="preserve"> </w:t>
      </w:r>
      <m:oMath>
        <m:r>
          <m:t>δ</m:t>
        </m:r>
      </m:oMath>
      <w:r>
        <w:t xml:space="preserve"> </w:t>
      </w:r>
      <w:r>
        <w:t xml:space="preserve">parameters have different values for the spot and futures prices. In the analysis below spot and futures prices are simulated by randomly drawing values for the two forecast error terms,</w:t>
      </w:r>
      <w:r>
        <w:t xml:space="preserve"> </w:t>
      </w:r>
      <m:oMath>
        <m:sSubSup>
          <m:e>
            <m:r>
              <m:t>ϵ</m:t>
            </m:r>
          </m:e>
          <m:sub>
            <m:r>
              <m:t>t</m:t>
            </m:r>
          </m:sub>
          <m:sup>
            <m:r>
              <m:t>H</m:t>
            </m:r>
          </m:sup>
        </m:sSubSup>
      </m:oMath>
      <w:r>
        <w:t xml:space="preserve">, and</w:t>
      </w:r>
      <w:r>
        <w:t xml:space="preserve"> </w:t>
      </w:r>
      <m:oMath>
        <m:sSubSup>
          <m:e>
            <m:r>
              <m:t>ϵ</m:t>
            </m:r>
          </m:e>
          <m:sub>
            <m:r>
              <m:t>t</m:t>
            </m:r>
          </m:sub>
          <m:sup>
            <m:r>
              <m:t>D</m:t>
            </m:r>
          </m:sup>
        </m:sSubSup>
      </m:oMath>
    </w:p>
    <w:bookmarkEnd w:id="22"/>
    <w:bookmarkStart w:id="24" w:name="basis"/>
    <w:p>
      <w:pPr>
        <w:pStyle w:val="Heading2"/>
      </w:pPr>
      <w:r>
        <w:t xml:space="preserve">Basis</w:t>
      </w:r>
    </w:p>
    <w:p>
      <w:pPr>
        <w:pStyle w:val="FirstParagraph"/>
      </w:pPr>
      <w:r>
        <w:t xml:space="preserve">The basis is defined as the spot price minus the futures price. In Q1 there is one spot price and seven futures prices, and so there are seven basis. In real world markets, the basis is normally reported for only the next-to-expire futures price. Let</w:t>
      </w:r>
      <w:r>
        <w:t xml:space="preserve"> </w:t>
      </w:r>
      <m:oMath>
        <m:sSubSup>
          <m:e>
            <m:r>
              <m:t>B</m:t>
            </m:r>
          </m:e>
          <m:sub>
            <m:r>
              <m:t>t</m:t>
            </m:r>
          </m:sub>
          <m:sup>
            <m:r>
              <m:t>i</m:t>
            </m:r>
          </m:sup>
        </m:sSubSup>
      </m:oMath>
      <w:r>
        <w:t xml:space="preserve"> </w:t>
      </w:r>
      <w:r>
        <w:t xml:space="preserve">denote the basis calculated in quarter</w:t>
      </w:r>
      <w:r>
        <w:t xml:space="preserve"> </w:t>
      </w:r>
      <m:oMath>
        <m:r>
          <m:t>t</m:t>
        </m:r>
      </m:oMath>
      <w:r>
        <w:t xml:space="preserve"> </w:t>
      </w:r>
      <w:r>
        <w:t xml:space="preserve">and based on a futures contract which expires in quarter</w:t>
      </w:r>
      <w:r>
        <w:t xml:space="preserve"> </w:t>
      </w:r>
      <m:oMath>
        <m:r>
          <m:t>i</m:t>
        </m:r>
      </m:oMath>
      <w:r>
        <w:t xml:space="preserve">. Using the previous expressions we have</w:t>
      </w:r>
    </w:p>
    <w:p>
      <w:pPr>
        <w:pStyle w:val="BodyText"/>
      </w:pPr>
      <m:oMathPara>
        <m:oMathParaPr>
          <m:jc m:val="center"/>
        </m:oMathParaPr>
        <m:oMath>
          <m:sSubSup>
            <m:e>
              <m:r>
                <m:t>B</m:t>
              </m:r>
            </m:e>
            <m:sub>
              <m:r>
                <m:t>t</m:t>
              </m:r>
            </m:sub>
            <m:sup>
              <m:r>
                <m:t>i</m:t>
              </m:r>
            </m:sup>
          </m:sSubSup>
          <m:r>
            <m:rPr>
              <m:sty m:val="p"/>
            </m:rPr>
            <m:t>=</m:t>
          </m:r>
          <m:sSub>
            <m:e>
              <m:r>
                <m:t>P</m:t>
              </m:r>
            </m:e>
            <m:sub>
              <m:r>
                <m:t>t</m:t>
              </m:r>
              <m:r>
                <m:rPr>
                  <m:sty m:val="p"/>
                </m:rPr>
                <m:t>+</m:t>
              </m:r>
              <m:r>
                <m:t>1</m:t>
              </m:r>
            </m:sub>
          </m:sSub>
          <m:r>
            <m:rPr>
              <m:sty m:val="p"/>
            </m:rPr>
            <m:t>−</m:t>
          </m:r>
          <m:sSubSup>
            <m:e>
              <m:r>
                <m:t>F</m:t>
              </m:r>
            </m:e>
            <m:sub>
              <m:r>
                <m:t>t</m:t>
              </m:r>
            </m:sub>
            <m:sup>
              <m:r>
                <m:t>i</m:t>
              </m:r>
            </m:sup>
          </m:sSubSup>
          <m:r>
            <m:rPr>
              <m:sty m:val="p"/>
            </m:rPr>
            <m:t>=</m:t>
          </m:r>
          <m:sSubSup>
            <m:e>
              <m:r>
                <m:t>δ</m:t>
              </m:r>
            </m:e>
            <m:sub>
              <m:r>
                <m:t>0</m:t>
              </m:r>
            </m:sub>
            <m:sup>
              <m:r>
                <m:t>t</m:t>
              </m:r>
            </m:sup>
          </m:sSubSup>
          <m:r>
            <m:rPr>
              <m:sty m:val="p"/>
            </m:rPr>
            <m:t>−</m:t>
          </m:r>
          <m:sSubSup>
            <m:e>
              <m:r>
                <m:t>δ</m:t>
              </m:r>
            </m:e>
            <m:sub>
              <m:r>
                <m:t>0</m:t>
              </m:r>
            </m:sub>
            <m:sup>
              <m:r>
                <m:t>i</m:t>
              </m:r>
            </m:sup>
          </m:sSubSup>
          <m:r>
            <m:rPr>
              <m:sty m:val="p"/>
            </m:rPr>
            <m:t>+</m:t>
          </m:r>
          <m:r>
            <m:rPr>
              <m:sty m:val="p"/>
            </m:rPr>
            <m:t>(</m:t>
          </m:r>
          <m:sSubSup>
            <m:e>
              <m:r>
                <m:t>δ</m:t>
              </m:r>
            </m:e>
            <m:sub>
              <m:r>
                <m:t>1</m:t>
              </m:r>
            </m:sub>
            <m:sup>
              <m:r>
                <m:t>t</m:t>
              </m:r>
            </m:sup>
          </m:sSubSup>
          <m:r>
            <m:rPr>
              <m:sty m:val="p"/>
            </m:rPr>
            <m:t>−</m:t>
          </m:r>
          <m:sSubSup>
            <m:e>
              <m:r>
                <m:t>δ</m:t>
              </m:r>
            </m:e>
            <m:sub>
              <m:r>
                <m:t>1</m:t>
              </m:r>
            </m:sub>
            <m:sup>
              <m:r>
                <m:t>i</m:t>
              </m:r>
            </m:sup>
          </m:sSubSup>
          <m:r>
            <m:rPr>
              <m:sty m:val="p"/>
            </m:rPr>
            <m:t>)</m:t>
          </m:r>
          <m:sSub>
            <m:e>
              <m:acc>
                <m:accPr>
                  <m:chr m:val="̂"/>
                </m:accPr>
                <m:e>
                  <m:r>
                    <m:t>H</m:t>
                  </m:r>
                </m:e>
              </m:acc>
            </m:e>
            <m:sub>
              <m:r>
                <m:t>t</m:t>
              </m:r>
            </m:sub>
          </m:sSub>
          <m:r>
            <m:rPr>
              <m:sty m:val="p"/>
            </m:rPr>
            <m:t>+</m:t>
          </m:r>
          <m:r>
            <m:rPr>
              <m:sty m:val="p"/>
            </m:rPr>
            <m:t>(</m:t>
          </m:r>
          <m:sSubSup>
            <m:e>
              <m:r>
                <m:t>δ</m:t>
              </m:r>
            </m:e>
            <m:sub>
              <m:r>
                <m:t>2</m:t>
              </m:r>
            </m:sub>
            <m:sup>
              <m:r>
                <m:t>t</m:t>
              </m:r>
            </m:sup>
          </m:sSubSup>
          <m:r>
            <m:rPr>
              <m:sty m:val="p"/>
            </m:rPr>
            <m:t>−</m:t>
          </m:r>
          <m:sSubSup>
            <m:e>
              <m:r>
                <m:t>δ</m:t>
              </m:r>
            </m:e>
            <m:sub>
              <m:r>
                <m:t>2</m:t>
              </m:r>
            </m:sub>
            <m:sup>
              <m:r>
                <m:t>i</m:t>
              </m:r>
            </m:sup>
          </m:sSubSup>
          <m:r>
            <m:rPr>
              <m:sty m:val="p"/>
            </m:rPr>
            <m:t>)</m:t>
          </m:r>
          <m:sSub>
            <m:e>
              <m:acc>
                <m:accPr>
                  <m:chr m:val="̂"/>
                </m:accPr>
                <m:e>
                  <m:r>
                    <m:t>D</m:t>
                  </m:r>
                </m:e>
              </m:acc>
            </m:e>
            <m:sub>
              <m:r>
                <m:t>t</m:t>
              </m:r>
            </m:sub>
          </m:sSub>
        </m:oMath>
      </m:oMathPara>
    </w:p>
    <w:p>
      <w:pPr>
        <w:pStyle w:val="FirstParagraph"/>
      </w:pPr>
      <w:r>
        <w:t xml:space="preserve">Basis is very important for hedging, which is a topic later in this course. For now it is important to understand the sign of the basis and how the basis changes over time. We can this assuming that the values for</w:t>
      </w:r>
      <w:r>
        <w:t xml:space="preserve"> </w:t>
      </w:r>
      <m:oMath>
        <m:sSub>
          <m:e>
            <m:acc>
              <m:accPr>
                <m:chr m:val="̂"/>
              </m:accPr>
              <m:e>
                <m:r>
                  <m:t>H</m:t>
                </m:r>
              </m:e>
            </m:acc>
          </m:e>
          <m:sub>
            <m:r>
              <m:t>t</m:t>
            </m:r>
          </m:sub>
        </m:sSub>
      </m:oMath>
      <w:r>
        <w:t xml:space="preserve"> </w:t>
      </w:r>
      <w:r>
        <w:t xml:space="preserve">and</w:t>
      </w:r>
      <w:r>
        <w:t xml:space="preserve"> </w:t>
      </w:r>
      <m:oMath>
        <m:r>
          <m:t>h</m:t>
        </m:r>
        <m:r>
          <m:t>a</m:t>
        </m:r>
        <m:r>
          <m:t>t</m:t>
        </m:r>
        <m:sSub>
          <m:e>
            <m:r>
              <m:t>D</m:t>
            </m:r>
          </m:e>
          <m:sub>
            <m:r>
              <m:t>t</m:t>
            </m:r>
          </m:sub>
        </m:sSub>
      </m:oMath>
      <w:r>
        <w:t xml:space="preserve"> </w:t>
      </w:r>
      <w:r>
        <w:t xml:space="preserve">are fixed over time. This is equivalent to examining how the expected spot price and the expected futures price changes over time.</w:t>
      </w:r>
    </w:p>
    <w:p>
      <w:pPr>
        <w:pStyle w:val="BodyText"/>
      </w:pPr>
      <w:r>
        <w:t xml:space="preserve">Let’s begin by retrieving the values for the three</w:t>
      </w:r>
      <w:r>
        <w:t xml:space="preserve"> </w:t>
      </w:r>
      <m:oMath>
        <m:r>
          <m:t>δ</m:t>
        </m:r>
      </m:oMath>
      <w:r>
        <w:t xml:space="preserve"> </w:t>
      </w:r>
      <w:r>
        <w:t xml:space="preserve">parameters using the</w:t>
      </w:r>
      <w:r>
        <w:t xml:space="preserve"> </w:t>
      </w:r>
      <w:r>
        <w:t xml:space="preserve">“</w:t>
      </w:r>
      <w:r>
        <w:t xml:space="preserve">get_delta</w:t>
      </w:r>
      <w:r>
        <w:t xml:space="preserve">”</w:t>
      </w:r>
      <w:r>
        <w:t xml:space="preserve"> </w:t>
      </w:r>
      <w:r>
        <w:t xml:space="preserve">function, which was featured in the previous module.</w:t>
      </w:r>
    </w:p>
    <w:p>
      <w:pPr>
        <w:pStyle w:val="SourceCode"/>
      </w:pPr>
      <w:r>
        <w:rPr>
          <w:rStyle w:val="NormalTok"/>
        </w:rPr>
        <w:t xml:space="preserve">a </w:t>
      </w:r>
      <w:r>
        <w:rPr>
          <w:rStyle w:val="OtherTok"/>
        </w:rPr>
        <w:t xml:space="preserve">&lt;-</w:t>
      </w:r>
      <w:r>
        <w:rPr>
          <w:rStyle w:val="NormalTok"/>
        </w:rPr>
        <w:t xml:space="preserve"> </w:t>
      </w:r>
      <w:r>
        <w:rPr>
          <w:rStyle w:val="FloatTok"/>
        </w:rPr>
        <w:t xml:space="preserve">16.21</w:t>
      </w:r>
      <w:r>
        <w:br/>
      </w:r>
      <w:r>
        <w:rPr>
          <w:rStyle w:val="NormalTok"/>
        </w:rPr>
        <w:t xml:space="preserve">b </w:t>
      </w:r>
      <w:r>
        <w:rPr>
          <w:rStyle w:val="OtherTok"/>
        </w:rPr>
        <w:t xml:space="preserve">&lt;-</w:t>
      </w:r>
      <w:r>
        <w:rPr>
          <w:rStyle w:val="NormalTok"/>
        </w:rPr>
        <w:t xml:space="preserve"> </w:t>
      </w:r>
      <w:r>
        <w:rPr>
          <w:rStyle w:val="FloatTok"/>
        </w:rPr>
        <w:t xml:space="preserve">3.50</w:t>
      </w:r>
      <w:r>
        <w:br/>
      </w:r>
      <w:r>
        <w:rPr>
          <w:rStyle w:val="NormalTok"/>
        </w:rPr>
        <w:t xml:space="preserve">m0 </w:t>
      </w:r>
      <w:r>
        <w:rPr>
          <w:rStyle w:val="OtherTok"/>
        </w:rPr>
        <w:t xml:space="preserve">&lt;-</w:t>
      </w:r>
      <w:r>
        <w:rPr>
          <w:rStyle w:val="NormalTok"/>
        </w:rPr>
        <w:t xml:space="preserve"> </w:t>
      </w:r>
      <w:r>
        <w:rPr>
          <w:rStyle w:val="SpecialCharTok"/>
        </w:rPr>
        <w:t xml:space="preserve">-</w:t>
      </w:r>
      <w:r>
        <w:rPr>
          <w:rStyle w:val="FloatTok"/>
        </w:rPr>
        <w:t xml:space="preserve">0.22</w:t>
      </w:r>
      <w:r>
        <w:br/>
      </w:r>
      <w:r>
        <w:rPr>
          <w:rStyle w:val="NormalTok"/>
        </w:rPr>
        <w:t xml:space="preserve">m1 </w:t>
      </w:r>
      <w:r>
        <w:rPr>
          <w:rStyle w:val="OtherTok"/>
        </w:rPr>
        <w:t xml:space="preserve">&lt;-</w:t>
      </w:r>
      <w:r>
        <w:rPr>
          <w:rStyle w:val="NormalTok"/>
        </w:rPr>
        <w:t xml:space="preserve"> </w:t>
      </w:r>
      <w:r>
        <w:rPr>
          <w:rStyle w:val="FloatTok"/>
        </w:rPr>
        <w:t xml:space="preserve">0.03</w:t>
      </w:r>
      <w:r>
        <w:br/>
      </w:r>
      <w:r>
        <w:rPr>
          <w:rStyle w:val="NormalTok"/>
        </w:rPr>
        <w:t xml:space="preserve">S0 </w:t>
      </w:r>
      <w:r>
        <w:rPr>
          <w:rStyle w:val="OtherTok"/>
        </w:rPr>
        <w:t xml:space="preserve">&lt;-</w:t>
      </w:r>
      <w:r>
        <w:rPr>
          <w:rStyle w:val="NormalTok"/>
        </w:rPr>
        <w:t xml:space="preserve"> </w:t>
      </w:r>
      <w:r>
        <w:rPr>
          <w:rStyle w:val="FloatTok"/>
        </w:rPr>
        <w:t xml:space="preserve">2.015</w:t>
      </w:r>
      <w:r>
        <w:br/>
      </w:r>
      <w:r>
        <w:rPr>
          <w:rStyle w:val="NormalTok"/>
        </w:rPr>
        <w:t xml:space="preserve">H1 </w:t>
      </w:r>
      <w:r>
        <w:rPr>
          <w:rStyle w:val="OtherTok"/>
        </w:rPr>
        <w:t xml:space="preserve">&lt;-</w:t>
      </w:r>
      <w:r>
        <w:rPr>
          <w:rStyle w:val="NormalTok"/>
        </w:rPr>
        <w:t xml:space="preserve"> </w:t>
      </w:r>
      <w:r>
        <w:rPr>
          <w:rStyle w:val="FloatTok"/>
        </w:rPr>
        <w:t xml:space="preserve">14.38</w:t>
      </w:r>
      <w:r>
        <w:br/>
      </w:r>
      <w:r>
        <w:rPr>
          <w:rStyle w:val="NormalTok"/>
        </w:rPr>
        <w:t xml:space="preserve">S_bar </w:t>
      </w:r>
      <w:r>
        <w:rPr>
          <w:rStyle w:val="OtherTok"/>
        </w:rPr>
        <w:t xml:space="preserve">&lt;-</w:t>
      </w:r>
      <w:r>
        <w:rPr>
          <w:rStyle w:val="NormalTok"/>
        </w:rPr>
        <w:t xml:space="preserve"> </w:t>
      </w:r>
      <w:r>
        <w:rPr>
          <w:rStyle w:val="FloatTok"/>
        </w:rPr>
        <w:t xml:space="preserve">2.015</w:t>
      </w:r>
      <w:r>
        <w:br/>
      </w: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(a, b, m0, m1, S0, H1, S_bar)</w:t>
      </w:r>
      <w:r>
        <w:br/>
      </w:r>
      <w:r>
        <w:rPr>
          <w:rStyle w:val="FunctionTok"/>
        </w:rPr>
        <w:t xml:space="preserve">source</w:t>
      </w:r>
      <w:r>
        <w:rPr>
          <w:rStyle w:val="NormalTok"/>
        </w:rPr>
        <w:t xml:space="preserve">(path_work_ftn)</w:t>
      </w:r>
      <w:r>
        <w:br/>
      </w:r>
      <w:r>
        <w:rPr>
          <w:rStyle w:val="NormalTok"/>
        </w:rPr>
        <w:t xml:space="preserve">del </w:t>
      </w:r>
      <w:r>
        <w:rPr>
          <w:rStyle w:val="OtherTok"/>
        </w:rPr>
        <w:t xml:space="preserve">&lt;-</w:t>
      </w:r>
      <w:r>
        <w:rPr>
          <w:rStyle w:val="NormalTok"/>
        </w:rPr>
        <w:t xml:space="preserve"> </w:t>
      </w:r>
      <w:r>
        <w:rPr>
          <w:rStyle w:val="FunctionTok"/>
        </w:rPr>
        <w:t xml:space="preserve">get_delta</w:t>
      </w:r>
      <w:r>
        <w:rPr>
          <w:rStyle w:val="NormalTok"/>
        </w:rPr>
        <w:t xml:space="preserve">(v)</w:t>
      </w:r>
      <w:r>
        <w:br/>
      </w:r>
      <w:r>
        <w:rPr>
          <w:rStyle w:val="NormalTok"/>
        </w:rPr>
        <w:t xml:space="preserve">del</w:t>
      </w:r>
    </w:p>
    <w:p>
      <w:pPr>
        <w:pStyle w:val="SourceCode"/>
      </w:pPr>
      <w:r>
        <w:rPr>
          <w:rStyle w:val="VerbatimChar"/>
        </w:rPr>
        <w:t xml:space="preserve">##           del0       del1      del2</w:t>
      </w:r>
      <w:r>
        <w:br/>
      </w:r>
      <w:r>
        <w:rPr>
          <w:rStyle w:val="VerbatimChar"/>
        </w:rPr>
        <w:t xml:space="preserve">## [1,]  9.545454 -0.4212615 0.4005162</w:t>
      </w:r>
      <w:r>
        <w:br/>
      </w:r>
      <w:r>
        <w:rPr>
          <w:rStyle w:val="VerbatimChar"/>
        </w:rPr>
        <w:t xml:space="preserve">## [2,]  9.760180 -0.4248723 0.4039492</w:t>
      </w:r>
      <w:r>
        <w:br/>
      </w:r>
      <w:r>
        <w:rPr>
          <w:rStyle w:val="VerbatimChar"/>
        </w:rPr>
        <w:t xml:space="preserve">## [3,]  9.919621 -0.4321249 0.4108446</w:t>
      </w:r>
      <w:r>
        <w:br/>
      </w:r>
      <w:r>
        <w:rPr>
          <w:rStyle w:val="VerbatimChar"/>
        </w:rPr>
        <w:t xml:space="preserve">## [4,] 10.025144 -0.4430814 0.4212615</w:t>
      </w:r>
      <w:r>
        <w:br/>
      </w:r>
      <w:r>
        <w:rPr>
          <w:rStyle w:val="VerbatimChar"/>
        </w:rPr>
        <w:t xml:space="preserve">## [5,] 10.077655 -0.4578358 0.4352893</w:t>
      </w:r>
      <w:r>
        <w:br/>
      </w:r>
      <w:r>
        <w:rPr>
          <w:rStyle w:val="VerbatimChar"/>
        </w:rPr>
        <w:t xml:space="preserve">## [6,] 10.077603 -0.4465144 0.4530481</w:t>
      </w:r>
      <w:r>
        <w:br/>
      </w:r>
      <w:r>
        <w:rPr>
          <w:rStyle w:val="VerbatimChar"/>
        </w:rPr>
        <w:t xml:space="preserve">## [7,] 10.024987 -0.4390203 0.4746902</w:t>
      </w:r>
      <w:r>
        <w:br/>
      </w:r>
      <w:r>
        <w:rPr>
          <w:rStyle w:val="VerbatimChar"/>
        </w:rPr>
        <w:t xml:space="preserve">## [8,]  9.919357 -0.4352893 0.5004010</w:t>
      </w:r>
    </w:p>
    <w:p>
      <w:pPr>
        <w:pStyle w:val="FirstParagraph"/>
      </w:pPr>
      <w:r>
        <w:t xml:space="preserve">Let’s graph the values for</w:t>
      </w:r>
      <w:r>
        <w:t xml:space="preserve"> </w:t>
      </w:r>
      <m:oMath>
        <m:sSubSup>
          <m:e>
            <m:r>
              <m:t>B</m:t>
            </m:r>
          </m:e>
          <m:sub>
            <m:r>
              <m:t>t</m:t>
            </m:r>
          </m:sub>
          <m:sup>
            <m:r>
              <m:t>8</m:t>
            </m:r>
          </m:sup>
        </m:sSubSup>
      </m:oMath>
      <w:r>
        <w:t xml:space="preserve">, which is defined as the quarter</w:t>
      </w:r>
      <w:r>
        <w:t xml:space="preserve"> </w:t>
      </w:r>
      <m:oMath>
        <m:r>
          <m:t>t</m:t>
        </m:r>
      </m:oMath>
      <w:r>
        <w:t xml:space="preserve"> </w:t>
      </w:r>
      <w:r>
        <w:t xml:space="preserve">spot price minus the price of a futures contract which expires in Q8.</w:t>
      </w:r>
    </w:p>
    <w:p>
      <w:pPr>
        <w:pStyle w:val="SourceCode"/>
      </w:pPr>
      <w:r>
        <w:rPr>
          <w:rStyle w:val="NormalTok"/>
        </w:rPr>
        <w:t xml:space="preserve">H5 </w:t>
      </w:r>
      <w:r>
        <w:rPr>
          <w:rStyle w:val="OtherTok"/>
        </w:rPr>
        <w:t xml:space="preserve">&lt;-</w:t>
      </w:r>
      <w:r>
        <w:rPr>
          <w:rStyle w:val="NormalTok"/>
        </w:rPr>
        <w:t xml:space="preserve"> </w:t>
      </w:r>
      <w:r>
        <w:rPr>
          <w:rStyle w:val="FloatTok"/>
        </w:rPr>
        <w:t xml:space="preserve">14.38</w:t>
      </w:r>
      <w:r>
        <w:br/>
      </w:r>
      <w:r>
        <w:rPr>
          <w:rStyle w:val="NormalTok"/>
        </w:rPr>
        <w:t xml:space="preserve">D </w:t>
      </w:r>
      <w:r>
        <w:rPr>
          <w:rStyle w:val="OtherTok"/>
        </w:rPr>
        <w:t xml:space="preserve">&lt;-</w:t>
      </w:r>
      <w:r>
        <w:rPr>
          <w:rStyle w:val="NormalTok"/>
        </w:rPr>
        <w:t xml:space="preserve"> </w:t>
      </w:r>
      <w:r>
        <w:rPr>
          <w:rStyle w:val="DecValTok"/>
        </w:rPr>
        <w:t xml:space="preserve">0</w:t>
      </w:r>
      <w:r>
        <w:br/>
      </w:r>
      <w:r>
        <w:rPr>
          <w:rStyle w:val="NormalTok"/>
        </w:rPr>
        <w:t xml:space="preserve">B </w:t>
      </w:r>
      <w:r>
        <w:rPr>
          <w:rStyle w:val="OtherTok"/>
        </w:rPr>
        <w:t xml:space="preserve">&lt;-</w:t>
      </w:r>
      <w:r>
        <w:rPr>
          <w:rStyle w:val="NormalTok"/>
        </w:rPr>
        <w:t xml:space="preserve"> del[,</w:t>
      </w:r>
      <w:r>
        <w:rPr>
          <w:rStyle w:val="DecValTok"/>
        </w:rPr>
        <w:t xml:space="preserve">1</w:t>
      </w:r>
      <w:r>
        <w:rPr>
          <w:rStyle w:val="NormalTok"/>
        </w:rPr>
        <w:t xml:space="preserve">]</w:t>
      </w:r>
      <w:r>
        <w:rPr>
          <w:rStyle w:val="SpecialCharTok"/>
        </w:rPr>
        <w:t xml:space="preserve">-</w:t>
      </w:r>
      <w:r>
        <w:rPr>
          <w:rStyle w:val="NormalTok"/>
        </w:rPr>
        <w:t xml:space="preserve">del[</w:t>
      </w:r>
      <w:r>
        <w:rPr>
          <w:rStyle w:val="DecValTok"/>
        </w:rPr>
        <w:t xml:space="preserve">8</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(del[,</w:t>
      </w:r>
      <w:r>
        <w:rPr>
          <w:rStyle w:val="DecValTok"/>
        </w:rPr>
        <w:t xml:space="preserve">2</w:t>
      </w:r>
      <w:r>
        <w:rPr>
          <w:rStyle w:val="NormalTok"/>
        </w:rPr>
        <w:t xml:space="preserve">]</w:t>
      </w:r>
      <w:r>
        <w:rPr>
          <w:rStyle w:val="SpecialCharTok"/>
        </w:rPr>
        <w:t xml:space="preserve">-</w:t>
      </w:r>
      <w:r>
        <w:rPr>
          <w:rStyle w:val="NormalTok"/>
        </w:rPr>
        <w:t xml:space="preserve">del[</w:t>
      </w:r>
      <w:r>
        <w:rPr>
          <w:rStyle w:val="DecValTok"/>
        </w:rPr>
        <w:t xml:space="preserve">8</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H5 </w:t>
      </w:r>
      <w:r>
        <w:rPr>
          <w:rStyle w:val="SpecialCharTok"/>
        </w:rPr>
        <w:t xml:space="preserve">+</w:t>
      </w:r>
      <w:r>
        <w:rPr>
          <w:rStyle w:val="NormalTok"/>
        </w:rPr>
        <w:t xml:space="preserve"> (del[,</w:t>
      </w:r>
      <w:r>
        <w:rPr>
          <w:rStyle w:val="DecValTok"/>
        </w:rPr>
        <w:t xml:space="preserve">3</w:t>
      </w:r>
      <w:r>
        <w:rPr>
          <w:rStyle w:val="NormalTok"/>
        </w:rPr>
        <w:t xml:space="preserve">]</w:t>
      </w:r>
      <w:r>
        <w:rPr>
          <w:rStyle w:val="SpecialCharTok"/>
        </w:rPr>
        <w:t xml:space="preserve">-</w:t>
      </w:r>
      <w:r>
        <w:rPr>
          <w:rStyle w:val="NormalTok"/>
        </w:rPr>
        <w:t xml:space="preserve">del[</w:t>
      </w:r>
      <w:r>
        <w:rPr>
          <w:rStyle w:val="DecValTok"/>
        </w:rPr>
        <w:t xml:space="preserve">8</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D</w:t>
      </w:r>
      <w:r>
        <w:br/>
      </w:r>
      <w:r>
        <w:br/>
      </w:r>
      <w:r>
        <w:rPr>
          <w:rStyle w:val="FunctionTok"/>
        </w:rPr>
        <w:t xml:space="preserve">barplot</w:t>
      </w:r>
      <w:r>
        <w:rPr>
          <w:rStyle w:val="NormalTok"/>
        </w:rPr>
        <w:t xml:space="preserve">(B, </w:t>
      </w:r>
      <w:r>
        <w:rPr>
          <w:rStyle w:val="AttributeTok"/>
        </w:rPr>
        <w:t xml:space="preserve">names.arg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AttributeTok"/>
        </w:rPr>
        <w:t xml:space="preserve">main=</w:t>
      </w:r>
      <w:r>
        <w:rPr>
          <w:rStyle w:val="StringTok"/>
        </w:rPr>
        <w:t xml:space="preserve">"Basis for Q8 Futures Contract."</w:t>
      </w:r>
      <w:r>
        <w:rPr>
          <w:rStyle w:val="NormalTok"/>
        </w:rPr>
        <w:t xml:space="preserve">,</w:t>
      </w:r>
      <w:r>
        <w:br/>
      </w:r>
      <w:r>
        <w:rPr>
          <w:rStyle w:val="NormalTok"/>
        </w:rPr>
        <w:t xml:space="preserve">        </w:t>
      </w:r>
      <w:r>
        <w:rPr>
          <w:rStyle w:val="AttributeTok"/>
        </w:rPr>
        <w:t xml:space="preserve">xlab=</w:t>
      </w:r>
      <w:r>
        <w:rPr>
          <w:rStyle w:val="StringTok"/>
        </w:rPr>
        <w:t xml:space="preserve">"Quarter: Sept-Nov = 1, Dec-Feb = 2, etc"</w:t>
      </w:r>
      <w:r>
        <w:rPr>
          <w:rStyle w:val="NormalTok"/>
        </w:rPr>
        <w:t xml:space="preserve">, </w:t>
      </w:r>
      <w:r>
        <w:rPr>
          <w:rStyle w:val="AttributeTok"/>
        </w:rPr>
        <w:t xml:space="preserve">ylab=</w:t>
      </w:r>
      <w:r>
        <w:rPr>
          <w:rStyle w:val="StringTok"/>
        </w:rPr>
        <w:t xml:space="preserve">"$/bu"</w:t>
      </w:r>
      <w:r>
        <w:rPr>
          <w:rStyle w:val="NormalTok"/>
        </w:rPr>
        <w:t xml:space="preserve">,</w:t>
      </w:r>
      <w:r>
        <w:br/>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utures-Prices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understand the basis diagram, first note that the Q8 futures contract is expected to remain constant over time. This can be seen from the formula, $F_t^8 = E_t(P_8) =</w:t>
      </w:r>
      <w:r>
        <w:t xml:space="preserve"> </w:t>
      </w:r>
      <w:r>
        <w:t xml:space="preserve">_0^8 +</w:t>
      </w:r>
      <w:r>
        <w:t xml:space="preserve"> </w:t>
      </w:r>
      <w:r>
        <w:t xml:space="preserve">_1^8 (</w:t>
      </w:r>
      <w:r>
        <w:t xml:space="preserve">H_5) +</w:t>
      </w:r>
      <w:r>
        <w:t xml:space="preserve"> </w:t>
      </w:r>
      <w:r>
        <w:t xml:space="preserve">_2^8</w:t>
      </w:r>
      <w:r>
        <w:t xml:space="preserve"> </w:t>
      </w:r>
      <w:r>
        <w:t xml:space="preserve">D $ where</w:t>
      </w:r>
      <w:r>
        <w:t xml:space="preserve"> </w:t>
      </w:r>
      <m:oMath>
        <m:sSub>
          <m:e>
            <m:acc>
              <m:accPr>
                <m:chr m:val="‾"/>
              </m:accPr>
              <m:e>
                <m:r>
                  <m:t>H</m:t>
                </m:r>
              </m:e>
            </m:acc>
          </m:e>
          <m:sub>
            <m:r>
              <m:t>5</m:t>
            </m:r>
          </m:sub>
        </m:sSub>
        <m:r>
          <m:rPr>
            <m:sty m:val="p"/>
          </m:rPr>
          <m:t>=</m:t>
        </m:r>
        <m:r>
          <m:t>14.38</m:t>
        </m:r>
      </m:oMath>
      <w:r>
        <w:t xml:space="preserve"> </w:t>
      </w:r>
      <w:r>
        <w:t xml:space="preserve">and</w:t>
      </w:r>
      <w:r>
        <w:t xml:space="preserve"> </w:t>
      </w:r>
      <m:oMath>
        <m:acc>
          <m:accPr>
            <m:chr m:val="‾"/>
          </m:accPr>
          <m:e>
            <m:r>
              <m:t>D</m:t>
            </m:r>
          </m:e>
        </m:acc>
        <m:r>
          <m:rPr>
            <m:sty m:val="p"/>
          </m:rPr>
          <m:t>=</m:t>
        </m:r>
        <m:r>
          <m:t>0</m:t>
        </m:r>
      </m:oMath>
      <w:r>
        <w:t xml:space="preserve"> </w:t>
      </w:r>
      <w:r>
        <w:t xml:space="preserve">are the long term average values of these two variables. On the other hand, the spot price is changing over time due to changes in the the carrying cost. Recall from the previous module that the spot rises from Q1 through Q3 and then falls for Q4. The basis must also reflect this pattern. The basis must equal zero in Q8 due to the convergence of the spot and futures price. Consequently, the Chicago basis is positive when storage costs are greater than the convenience yield, and the spot price is rising over time. Conversely, the Chicago basis is positive when storage costs are less than the convenience yield and the spot price is falling over time.</w:t>
      </w:r>
    </w:p>
    <w:bookmarkEnd w:id="24"/>
    <w:bookmarkStart w:id="26" w:name="price-simulation"/>
    <w:p>
      <w:pPr>
        <w:pStyle w:val="Heading2"/>
      </w:pPr>
      <w:r>
        <w:t xml:space="preserve">Price Simulation</w:t>
      </w:r>
    </w:p>
    <w:p>
      <w:pPr>
        <w:pStyle w:val="FirstParagraph"/>
      </w:pPr>
      <w:r>
        <w:t xml:space="preserve">Suppose at the beginning of each quarter a forecasted value for</w:t>
      </w:r>
      <w:r>
        <w:t xml:space="preserve"> </w:t>
      </w:r>
      <m:oMath>
        <m:sSub>
          <m:e>
            <m:r>
              <m:t>H</m:t>
            </m:r>
          </m:e>
          <m:sub>
            <m:r>
              <m:t>5</m:t>
            </m:r>
          </m:sub>
        </m:sSub>
      </m:oMath>
      <w:r>
        <w:t xml:space="preserve"> </w:t>
      </w:r>
      <w:r>
        <w:t xml:space="preserve">and</w:t>
      </w:r>
      <w:r>
        <w:t xml:space="preserve"> </w:t>
      </w:r>
      <m:oMath>
        <m:r>
          <m:t>D</m:t>
        </m:r>
      </m:oMath>
      <w:r>
        <w:t xml:space="preserve"> </w:t>
      </w:r>
      <w:r>
        <w:t xml:space="preserve">was randomly drawn using the random walk formulas</w:t>
      </w:r>
      <w:r>
        <w:t xml:space="preserve"> </w:t>
      </w:r>
      <m:oMath>
        <m:sSub>
          <m:e>
            <m:acc>
              <m:accPr>
                <m:chr m:val="̂"/>
              </m:accPr>
              <m:e>
                <m:r>
                  <m:t>H</m:t>
                </m:r>
              </m:e>
            </m:acc>
          </m:e>
          <m:sub>
            <m:r>
              <m:t>t</m:t>
            </m:r>
            <m:r>
              <m:rPr>
                <m:sty m:val="p"/>
              </m:rPr>
              <m:t>+</m:t>
            </m:r>
            <m:r>
              <m:t>1</m:t>
            </m:r>
          </m:sub>
        </m:sSub>
        <m:r>
          <m:rPr>
            <m:sty m:val="p"/>
          </m:rPr>
          <m:t>=</m:t>
        </m:r>
        <m:sSub>
          <m:e>
            <m:acc>
              <m:accPr>
                <m:chr m:val="̂"/>
              </m:accPr>
              <m:e>
                <m:r>
                  <m:t>H</m:t>
                </m:r>
              </m:e>
            </m:acc>
          </m:e>
          <m:sub>
            <m:r>
              <m:t>t</m:t>
            </m:r>
          </m:sub>
        </m:sSub>
        <m:r>
          <m:rPr>
            <m:sty m:val="p"/>
          </m:rPr>
          <m:t>+</m:t>
        </m:r>
        <m:sSubSup>
          <m:e>
            <m:r>
              <m:t>ϵ</m:t>
            </m:r>
          </m:e>
          <m:sub>
            <m:r>
              <m:t>t</m:t>
            </m:r>
          </m:sub>
          <m:sup>
            <m:r>
              <m:t>H</m:t>
            </m:r>
          </m:sup>
        </m:sSubSup>
      </m:oMath>
      <w:r>
        <w:t xml:space="preserve"> </w:t>
      </w:r>
      <w:r>
        <w:t xml:space="preserve">and</w:t>
      </w:r>
      <w:r>
        <w:t xml:space="preserve"> </w:t>
      </w:r>
      <m:oMath>
        <m:sSub>
          <m:e>
            <m:acc>
              <m:accPr>
                <m:chr m:val="̂"/>
              </m:accPr>
              <m:e>
                <m:r>
                  <m:t>D</m:t>
                </m:r>
              </m:e>
            </m:acc>
          </m:e>
          <m:sub>
            <m:r>
              <m:t>t</m:t>
            </m:r>
            <m:r>
              <m:rPr>
                <m:sty m:val="p"/>
              </m:rPr>
              <m:t>+</m:t>
            </m:r>
            <m:r>
              <m:t>1</m:t>
            </m:r>
          </m:sub>
        </m:sSub>
        <m:r>
          <m:rPr>
            <m:sty m:val="p"/>
          </m:rPr>
          <m:t>=</m:t>
        </m:r>
        <m:sSub>
          <m:e>
            <m:acc>
              <m:accPr>
                <m:chr m:val="̂"/>
              </m:accPr>
              <m:e>
                <m:r>
                  <m:t>D</m:t>
                </m:r>
              </m:e>
            </m:acc>
          </m:e>
          <m:sub>
            <m:r>
              <m:t>t</m:t>
            </m:r>
          </m:sub>
        </m:sSub>
        <m:r>
          <m:rPr>
            <m:sty m:val="p"/>
          </m:rPr>
          <m:t>+</m:t>
        </m:r>
        <m:sSubSup>
          <m:e>
            <m:r>
              <m:t>ϵ</m:t>
            </m:r>
          </m:e>
          <m:sub>
            <m:r>
              <m:t>t</m:t>
            </m:r>
          </m:sub>
          <m:sup>
            <m:r>
              <m:t>D</m:t>
            </m:r>
          </m:sup>
        </m:sSubSup>
      </m:oMath>
      <w:r>
        <w:t xml:space="preserve">. In Q1 we can use the previous formulas to calculate the Q1 spot price and the futures price for each of the remaining seven periods. In Q2 when a new set of forecast values are randomly selected, we can obtained a spot price for Q2 and futures prices for the remaining six quarters. This process can be repeated until we reach Q8. The data to contruct the distributions for</w:t>
      </w:r>
      <w:r>
        <w:t xml:space="preserve"> </w:t>
      </w:r>
      <m:oMath>
        <m:sSubSup>
          <m:e>
            <m:r>
              <m:t>ϵ</m:t>
            </m:r>
          </m:e>
          <m:sub>
            <m:r>
              <m:t>t</m:t>
            </m:r>
          </m:sub>
          <m:sup>
            <m:r>
              <m:t>H</m:t>
            </m:r>
          </m:sup>
        </m:sSubSup>
      </m:oMath>
      <w:r>
        <w:t xml:space="preserve"> </w:t>
      </w:r>
      <w:r>
        <w:t xml:space="preserve">and</w:t>
      </w:r>
      <w:r>
        <w:t xml:space="preserve"> </w:t>
      </w:r>
      <m:oMath>
        <m:sSubSup>
          <m:e>
            <m:r>
              <m:t>ϵ</m:t>
            </m:r>
          </m:e>
          <m:sub>
            <m:r>
              <m:t>t</m:t>
            </m:r>
          </m:sub>
          <m:sup>
            <m:r>
              <m:t>D</m:t>
            </m:r>
          </m:sup>
        </m:sSubSup>
      </m:oMath>
      <w:r>
        <w:t xml:space="preserve"> </w:t>
      </w:r>
      <w:r>
        <w:t xml:space="preserve">come from the monthly USDA World Agricultural Supply and Demand Estimates (WASDE) reports. The details are contained in Vercammen (2021).</w:t>
      </w:r>
    </w:p>
    <w:p>
      <w:pPr>
        <w:pStyle w:val="BodyText"/>
      </w:pPr>
      <w:r>
        <w:t xml:space="preserve">The simulated prices are presented in the table below. Each row represents a different quarter, ranging from 1 to 8, and each column represents a different futures contract, with expiry dates ranging from 1 to 8. The prices along the diagonal (and repeated in the last column) are the spot prices and those above the diagonal are the futures prices. For example, the prices in the fourth column reveal how the price of a Q8 futures contract changes over the eight quarters. Conversely, the fourth row reveals the forward curve (consisting of the Q5, Q6, Q7 and Q8 futures prices) when measured in Q4.</w:t>
      </w:r>
    </w:p>
    <w:p>
      <w:pPr>
        <w:pStyle w:val="SourceCode"/>
      </w:pPr>
      <w:r>
        <w:rPr>
          <w:rStyle w:val="NormalTok"/>
        </w:rPr>
        <w:t xml:space="preserve">price_random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"./Data/simulated_prices.csv"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(price_random, </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X</w:t>
            </w:r>
          </w:p>
        </w:tc>
        <w:tc>
          <w:p>
            <w:pPr>
              <w:pStyle w:val="Compact"/>
              <w:jc w:val="right"/>
            </w:pPr>
            <w:r>
              <w:t xml:space="preserve">p1</w:t>
            </w:r>
          </w:p>
        </w:tc>
        <w:tc>
          <w:p>
            <w:pPr>
              <w:pStyle w:val="Compact"/>
              <w:jc w:val="right"/>
            </w:pPr>
            <w:r>
              <w:t xml:space="preserve">p2</w:t>
            </w:r>
          </w:p>
        </w:tc>
        <w:tc>
          <w:p>
            <w:pPr>
              <w:pStyle w:val="Compact"/>
              <w:jc w:val="right"/>
            </w:pPr>
            <w:r>
              <w:t xml:space="preserve">p3</w:t>
            </w:r>
          </w:p>
        </w:tc>
        <w:tc>
          <w:p>
            <w:pPr>
              <w:pStyle w:val="Compact"/>
              <w:jc w:val="right"/>
            </w:pPr>
            <w:r>
              <w:t xml:space="preserve">p4</w:t>
            </w:r>
          </w:p>
        </w:tc>
        <w:tc>
          <w:p>
            <w:pPr>
              <w:pStyle w:val="Compact"/>
              <w:jc w:val="right"/>
            </w:pPr>
            <w:r>
              <w:t xml:space="preserve">p5</w:t>
            </w:r>
          </w:p>
        </w:tc>
        <w:tc>
          <w:p>
            <w:pPr>
              <w:pStyle w:val="Compact"/>
              <w:jc w:val="right"/>
            </w:pPr>
            <w:r>
              <w:t xml:space="preserve">p6</w:t>
            </w:r>
          </w:p>
        </w:tc>
        <w:tc>
          <w:p>
            <w:pPr>
              <w:pStyle w:val="Compact"/>
              <w:jc w:val="right"/>
            </w:pPr>
            <w:r>
              <w:t xml:space="preserve">p7</w:t>
            </w:r>
          </w:p>
        </w:tc>
        <w:tc>
          <w:p>
            <w:pPr>
              <w:pStyle w:val="Compact"/>
              <w:jc w:val="right"/>
            </w:pPr>
            <w:r>
              <w:t xml:space="preserve">p8</w:t>
            </w:r>
          </w:p>
        </w:tc>
        <w:tc>
          <w:p>
            <w:pPr>
              <w:pStyle w:val="Compact"/>
              <w:jc w:val="right"/>
            </w:pPr>
            <w:r>
              <w:t xml:space="preserve">current</w:t>
            </w:r>
          </w:p>
        </w:tc>
      </w:tr>
      <w:tr>
        <w:tc>
          <w:p>
            <w:pPr>
              <w:pStyle w:val="Compact"/>
              <w:jc w:val="left"/>
            </w:pPr>
            <w:r>
              <w:t xml:space="preserve">q1</w:t>
            </w:r>
          </w:p>
        </w:tc>
        <w:tc>
          <w:p>
            <w:pPr>
              <w:pStyle w:val="Compact"/>
              <w:jc w:val="right"/>
            </w:pPr>
            <w:r>
              <w:t xml:space="preserve">3.49</w:t>
            </w:r>
          </w:p>
        </w:tc>
        <w:tc>
          <w:p>
            <w:pPr>
              <w:pStyle w:val="Compact"/>
              <w:jc w:val="right"/>
            </w:pPr>
            <w:r>
              <w:t xml:space="preserve">3.653</w:t>
            </w:r>
          </w:p>
        </w:tc>
        <w:tc>
          <w:p>
            <w:pPr>
              <w:pStyle w:val="Compact"/>
              <w:jc w:val="right"/>
            </w:pPr>
            <w:r>
              <w:t xml:space="preserve">3.708</w:t>
            </w:r>
          </w:p>
        </w:tc>
        <w:tc>
          <w:p>
            <w:pPr>
              <w:pStyle w:val="Compact"/>
              <w:jc w:val="right"/>
            </w:pPr>
            <w:r>
              <w:t xml:space="preserve">3.656</w:t>
            </w:r>
          </w:p>
        </w:tc>
        <w:tc>
          <w:p>
            <w:pPr>
              <w:pStyle w:val="Compact"/>
              <w:jc w:val="right"/>
            </w:pPr>
            <w:r>
              <w:t xml:space="preserve">3.497</w:t>
            </w:r>
          </w:p>
        </w:tc>
        <w:tc>
          <w:p>
            <w:pPr>
              <w:pStyle w:val="Compact"/>
              <w:jc w:val="right"/>
            </w:pPr>
            <w:r>
              <w:t xml:space="preserve">3.659</w:t>
            </w:r>
          </w:p>
        </w:tc>
        <w:tc>
          <w:p>
            <w:pPr>
              <w:pStyle w:val="Compact"/>
              <w:jc w:val="right"/>
            </w:pPr>
            <w:r>
              <w:t xml:space="preserve">3.714</w:t>
            </w:r>
          </w:p>
        </w:tc>
        <w:tc>
          <w:p>
            <w:pPr>
              <w:pStyle w:val="Compact"/>
              <w:jc w:val="right"/>
            </w:pPr>
            <w:r>
              <w:t xml:space="preserve">3.662</w:t>
            </w:r>
          </w:p>
        </w:tc>
        <w:tc>
          <w:p>
            <w:pPr>
              <w:pStyle w:val="Compact"/>
              <w:jc w:val="right"/>
            </w:pPr>
            <w:r>
              <w:t xml:space="preserve">3.490</w:t>
            </w:r>
          </w:p>
        </w:tc>
      </w:tr>
      <w:tr>
        <w:tc>
          <w:p>
            <w:pPr>
              <w:pStyle w:val="Compact"/>
              <w:jc w:val="left"/>
            </w:pPr>
            <w:r>
              <w:t xml:space="preserve">q2</w:t>
            </w:r>
          </w:p>
        </w:tc>
        <w:tc>
          <w:p>
            <w:pPr>
              <w:pStyle w:val="Compact"/>
              <w:jc w:val="right"/>
            </w:pPr>
            <w:r>
              <w:t xml:space="preserve">NA</w:t>
            </w:r>
          </w:p>
        </w:tc>
        <w:tc>
          <w:p>
            <w:pPr>
              <w:pStyle w:val="Compact"/>
              <w:jc w:val="right"/>
            </w:pPr>
            <w:r>
              <w:t xml:space="preserve">3.713</w:t>
            </w:r>
          </w:p>
        </w:tc>
        <w:tc>
          <w:p>
            <w:pPr>
              <w:pStyle w:val="Compact"/>
              <w:jc w:val="right"/>
            </w:pPr>
            <w:r>
              <w:t xml:space="preserve">3.769</w:t>
            </w:r>
          </w:p>
        </w:tc>
        <w:tc>
          <w:p>
            <w:pPr>
              <w:pStyle w:val="Compact"/>
              <w:jc w:val="right"/>
            </w:pPr>
            <w:r>
              <w:t xml:space="preserve">3.718</w:t>
            </w:r>
          </w:p>
        </w:tc>
        <w:tc>
          <w:p>
            <w:pPr>
              <w:pStyle w:val="Compact"/>
              <w:jc w:val="right"/>
            </w:pPr>
            <w:r>
              <w:t xml:space="preserve">3.560</w:t>
            </w:r>
          </w:p>
        </w:tc>
        <w:tc>
          <w:p>
            <w:pPr>
              <w:pStyle w:val="Compact"/>
              <w:jc w:val="right"/>
            </w:pPr>
            <w:r>
              <w:t xml:space="preserve">3.702</w:t>
            </w:r>
          </w:p>
        </w:tc>
        <w:tc>
          <w:p>
            <w:pPr>
              <w:pStyle w:val="Compact"/>
              <w:jc w:val="right"/>
            </w:pPr>
            <w:r>
              <w:t xml:space="preserve">3.737</w:t>
            </w:r>
          </w:p>
        </w:tc>
        <w:tc>
          <w:p>
            <w:pPr>
              <w:pStyle w:val="Compact"/>
              <w:jc w:val="right"/>
            </w:pPr>
            <w:r>
              <w:t xml:space="preserve">3.665</w:t>
            </w:r>
          </w:p>
        </w:tc>
        <w:tc>
          <w:p>
            <w:pPr>
              <w:pStyle w:val="Compact"/>
              <w:jc w:val="right"/>
            </w:pPr>
            <w:r>
              <w:t xml:space="preserve">3.713</w:t>
            </w:r>
          </w:p>
        </w:tc>
      </w:tr>
      <w:tr>
        <w:tc>
          <w:p>
            <w:pPr>
              <w:pStyle w:val="Compact"/>
              <w:jc w:val="left"/>
            </w:pPr>
            <w:r>
              <w:t xml:space="preserve">q3</w:t>
            </w:r>
          </w:p>
        </w:tc>
        <w:tc>
          <w:p>
            <w:pPr>
              <w:pStyle w:val="Compact"/>
              <w:jc w:val="right"/>
            </w:pPr>
            <w:r>
              <w:t xml:space="preserve">NA</w:t>
            </w:r>
          </w:p>
        </w:tc>
        <w:tc>
          <w:p>
            <w:pPr>
              <w:pStyle w:val="Compact"/>
              <w:jc w:val="right"/>
            </w:pPr>
            <w:r>
              <w:t xml:space="preserve">NA</w:t>
            </w:r>
          </w:p>
        </w:tc>
        <w:tc>
          <w:p>
            <w:pPr>
              <w:pStyle w:val="Compact"/>
              <w:jc w:val="right"/>
            </w:pPr>
            <w:r>
              <w:t xml:space="preserve">3.658</w:t>
            </w:r>
          </w:p>
        </w:tc>
        <w:tc>
          <w:p>
            <w:pPr>
              <w:pStyle w:val="Compact"/>
              <w:jc w:val="right"/>
            </w:pPr>
            <w:r>
              <w:t xml:space="preserve">3.606</w:t>
            </w:r>
          </w:p>
        </w:tc>
        <w:tc>
          <w:p>
            <w:pPr>
              <w:pStyle w:val="Compact"/>
              <w:jc w:val="right"/>
            </w:pPr>
            <w:r>
              <w:t xml:space="preserve">3.446</w:t>
            </w:r>
          </w:p>
        </w:tc>
        <w:tc>
          <w:p>
            <w:pPr>
              <w:pStyle w:val="Compact"/>
              <w:jc w:val="right"/>
            </w:pPr>
            <w:r>
              <w:t xml:space="preserve">3.585</w:t>
            </w:r>
          </w:p>
        </w:tc>
        <w:tc>
          <w:p>
            <w:pPr>
              <w:pStyle w:val="Compact"/>
              <w:jc w:val="right"/>
            </w:pPr>
            <w:r>
              <w:t xml:space="preserve">3.616</w:t>
            </w:r>
          </w:p>
        </w:tc>
        <w:tc>
          <w:p>
            <w:pPr>
              <w:pStyle w:val="Compact"/>
              <w:jc w:val="right"/>
            </w:pPr>
            <w:r>
              <w:t xml:space="preserve">3.540</w:t>
            </w:r>
          </w:p>
        </w:tc>
        <w:tc>
          <w:p>
            <w:pPr>
              <w:pStyle w:val="Compact"/>
              <w:jc w:val="right"/>
            </w:pPr>
            <w:r>
              <w:t xml:space="preserve">3.658</w:t>
            </w:r>
          </w:p>
        </w:tc>
      </w:tr>
      <w:tr>
        <w:tc>
          <w:p>
            <w:pPr>
              <w:pStyle w:val="Compact"/>
              <w:jc w:val="left"/>
            </w:pPr>
            <w:r>
              <w:t xml:space="preserve">q4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3.555</w:t>
            </w:r>
          </w:p>
        </w:tc>
        <w:tc>
          <w:p>
            <w:pPr>
              <w:pStyle w:val="Compact"/>
              <w:jc w:val="right"/>
            </w:pPr>
            <w:r>
              <w:t xml:space="preserve">3.394</w:t>
            </w:r>
          </w:p>
        </w:tc>
        <w:tc>
          <w:p>
            <w:pPr>
              <w:pStyle w:val="Compact"/>
              <w:jc w:val="right"/>
            </w:pPr>
            <w:r>
              <w:t xml:space="preserve">3.538</w:t>
            </w:r>
          </w:p>
        </w:tc>
        <w:tc>
          <w:p>
            <w:pPr>
              <w:pStyle w:val="Compact"/>
              <w:jc w:val="right"/>
            </w:pPr>
            <w:r>
              <w:t xml:space="preserve">3.574</w:t>
            </w:r>
          </w:p>
        </w:tc>
        <w:tc>
          <w:p>
            <w:pPr>
              <w:pStyle w:val="Compact"/>
              <w:jc w:val="right"/>
            </w:pPr>
            <w:r>
              <w:t xml:space="preserve">3.501</w:t>
            </w:r>
          </w:p>
        </w:tc>
        <w:tc>
          <w:p>
            <w:pPr>
              <w:pStyle w:val="Compact"/>
              <w:jc w:val="right"/>
            </w:pPr>
            <w:r>
              <w:t xml:space="preserve">3.555</w:t>
            </w:r>
          </w:p>
        </w:tc>
      </w:tr>
      <w:tr>
        <w:tc>
          <w:p>
            <w:pPr>
              <w:pStyle w:val="Compact"/>
              <w:jc w:val="left"/>
            </w:pPr>
            <w:r>
              <w:t xml:space="preserve">q5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3.585</w:t>
            </w:r>
          </w:p>
        </w:tc>
        <w:tc>
          <w:p>
            <w:pPr>
              <w:pStyle w:val="Compact"/>
              <w:jc w:val="right"/>
            </w:pPr>
            <w:r>
              <w:t xml:space="preserve">3.728</w:t>
            </w:r>
          </w:p>
        </w:tc>
        <w:tc>
          <w:p>
            <w:pPr>
              <w:pStyle w:val="Compact"/>
              <w:jc w:val="right"/>
            </w:pPr>
            <w:r>
              <w:t xml:space="preserve">3.763</w:t>
            </w:r>
          </w:p>
        </w:tc>
        <w:tc>
          <w:p>
            <w:pPr>
              <w:pStyle w:val="Compact"/>
              <w:jc w:val="right"/>
            </w:pPr>
            <w:r>
              <w:t xml:space="preserve">3.693</w:t>
            </w:r>
          </w:p>
        </w:tc>
        <w:tc>
          <w:p>
            <w:pPr>
              <w:pStyle w:val="Compact"/>
              <w:jc w:val="right"/>
            </w:pPr>
            <w:r>
              <w:t xml:space="preserve">3.585</w:t>
            </w:r>
          </w:p>
        </w:tc>
      </w:tr>
      <w:tr>
        <w:tc>
          <w:p>
            <w:pPr>
              <w:pStyle w:val="Compact"/>
              <w:jc w:val="left"/>
            </w:pPr>
            <w:r>
              <w:t xml:space="preserve">q6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3.739</w:t>
            </w:r>
          </w:p>
        </w:tc>
        <w:tc>
          <w:p>
            <w:pPr>
              <w:pStyle w:val="Compact"/>
              <w:jc w:val="right"/>
            </w:pPr>
            <w:r>
              <w:t xml:space="preserve">3.775</w:t>
            </w:r>
          </w:p>
        </w:tc>
        <w:tc>
          <w:p>
            <w:pPr>
              <w:pStyle w:val="Compact"/>
              <w:jc w:val="right"/>
            </w:pPr>
            <w:r>
              <w:t xml:space="preserve">3.704</w:t>
            </w:r>
          </w:p>
        </w:tc>
        <w:tc>
          <w:p>
            <w:pPr>
              <w:pStyle w:val="Compact"/>
              <w:jc w:val="right"/>
            </w:pPr>
            <w:r>
              <w:t xml:space="preserve">3.739</w:t>
            </w:r>
          </w:p>
        </w:tc>
      </w:tr>
      <w:tr>
        <w:tc>
          <w:p>
            <w:pPr>
              <w:pStyle w:val="Compact"/>
              <w:jc w:val="left"/>
            </w:pPr>
            <w:r>
              <w:t xml:space="preserve">q7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3.810</w:t>
            </w:r>
          </w:p>
        </w:tc>
        <w:tc>
          <w:p>
            <w:pPr>
              <w:pStyle w:val="Compact"/>
              <w:jc w:val="right"/>
            </w:pPr>
            <w:r>
              <w:t xml:space="preserve">3.739</w:t>
            </w:r>
          </w:p>
        </w:tc>
        <w:tc>
          <w:p>
            <w:pPr>
              <w:pStyle w:val="Compact"/>
              <w:jc w:val="right"/>
            </w:pPr>
            <w:r>
              <w:t xml:space="preserve">3.810</w:t>
            </w:r>
          </w:p>
        </w:tc>
      </w:tr>
      <w:tr>
        <w:tc>
          <w:p>
            <w:pPr>
              <w:pStyle w:val="Compact"/>
              <w:jc w:val="left"/>
            </w:pPr>
            <w:r>
              <w:t xml:space="preserve">q8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4.571</w:t>
            </w:r>
          </w:p>
        </w:tc>
        <w:tc>
          <w:p>
            <w:pPr>
              <w:pStyle w:val="Compact"/>
              <w:jc w:val="right"/>
            </w:pPr>
            <w:r>
              <w:t xml:space="preserve">4.571</w:t>
            </w:r>
          </w:p>
        </w:tc>
      </w:tr>
    </w:tbl>
    <w:p>
      <w:pPr>
        <w:pStyle w:val="BodyText"/>
      </w:pPr>
      <w:r>
        <w:t xml:space="preserve">The corn basis measured relative to the Q8 contract can be calculated by subtracting the Q8 futures price in the second to last column from the spot prices in the last column. It is of interest to compare how the basis over time with pricing uncertainty compares with the basis in the previous graph, which was generated with no pricing uncertainty. To create this graph extract the last two columns of the price_random table.</w:t>
      </w:r>
    </w:p>
    <w:p>
      <w:pPr>
        <w:pStyle w:val="SourceCode"/>
      </w:pPr>
      <w:r>
        <w:rPr>
          <w:rStyle w:val="NormalTok"/>
        </w:rPr>
        <w:t xml:space="preserve">basis_import </w:t>
      </w:r>
      <w:r>
        <w:rPr>
          <w:rStyle w:val="OtherTok"/>
        </w:rPr>
        <w:t xml:space="preserve">&lt;-</w:t>
      </w:r>
      <w:r>
        <w:rPr>
          <w:rStyle w:val="NormalTok"/>
        </w:rPr>
        <w:t xml:space="preserve"> price_random[</w:t>
      </w:r>
      <w:r>
        <w:rPr>
          <w:rStyle w:val="DecValTok"/>
        </w:rPr>
        <w:t xml:space="preserve">10</w:t>
      </w:r>
      <w:r>
        <w:rPr>
          <w:rStyle w:val="NormalTok"/>
        </w:rPr>
        <w:t xml:space="preserve">]</w:t>
      </w:r>
      <w:r>
        <w:rPr>
          <w:rStyle w:val="SpecialCharTok"/>
        </w:rPr>
        <w:t xml:space="preserve">-</w:t>
      </w:r>
      <w:r>
        <w:rPr>
          <w:rStyle w:val="NormalTok"/>
        </w:rPr>
        <w:t xml:space="preserve">price_random[</w:t>
      </w:r>
      <w:r>
        <w:rPr>
          <w:rStyle w:val="DecValTok"/>
        </w:rPr>
        <w:t xml:space="preserve">9</w:t>
      </w:r>
      <w:r>
        <w:rPr>
          <w:rStyle w:val="NormalTok"/>
        </w:rPr>
        <w:t xml:space="preserve">]</w:t>
      </w:r>
      <w:r>
        <w:br/>
      </w:r>
      <w:r>
        <w:rPr>
          <w:rStyle w:val="NormalTok"/>
        </w:rPr>
        <w:t xml:space="preserve">basis_random </w:t>
      </w:r>
      <w:r>
        <w:rPr>
          <w:rStyle w:val="OtherTok"/>
        </w:rPr>
        <w:t xml:space="preserve">&lt;-</w:t>
      </w:r>
      <w:r>
        <w:rPr>
          <w:rStyle w:val="NormalTok"/>
        </w:rPr>
        <w:t xml:space="preserve"> </w:t>
      </w:r>
      <w:r>
        <w:rPr>
          <w:rStyle w:val="FunctionTok"/>
        </w:rPr>
        <w:t xml:space="preserve">data.matrix</w:t>
      </w:r>
      <w:r>
        <w:rPr>
          <w:rStyle w:val="NormalTok"/>
        </w:rPr>
        <w:t xml:space="preserve">(basis_import, </w:t>
      </w:r>
      <w:r>
        <w:rPr>
          <w:rStyle w:val="AttributeTok"/>
        </w:rPr>
        <w:t xml:space="preserve">rownames.force =</w:t>
      </w:r>
      <w:r>
        <w:rPr>
          <w:rStyle w:val="NormalTok"/>
        </w:rPr>
        <w:t xml:space="preserve"> </w:t>
      </w:r>
      <w:r>
        <w:rPr>
          <w:rStyle w:val="ConstantTok"/>
        </w:rPr>
        <w:t xml:space="preserve">NA</w:t>
      </w:r>
      <w:r>
        <w:rPr>
          <w:rStyle w:val="NormalTok"/>
        </w:rPr>
        <w:t xml:space="preserve">)</w:t>
      </w:r>
      <w:r>
        <w:br/>
      </w:r>
      <w:r>
        <w:rPr>
          <w:rStyle w:val="NormalTok"/>
        </w:rPr>
        <w:t xml:space="preserve">all_price </w:t>
      </w:r>
      <w:r>
        <w:rPr>
          <w:rStyle w:val="OtherTok"/>
        </w:rPr>
        <w:t xml:space="preserve">&lt;-</w:t>
      </w:r>
      <w:r>
        <w:rPr>
          <w:rStyle w:val="NormalTok"/>
        </w:rPr>
        <w:t xml:space="preserve"> </w:t>
      </w:r>
      <w:r>
        <w:rPr>
          <w:rStyle w:val="FunctionTok"/>
        </w:rPr>
        <w:t xml:space="preserve">cbind</w:t>
      </w:r>
      <w:r>
        <w:rPr>
          <w:rStyle w:val="NormalTok"/>
        </w:rPr>
        <w:t xml:space="preserve">(basis_random,B)</w:t>
      </w:r>
      <w:r>
        <w:br/>
      </w:r>
      <w:r>
        <w:rPr>
          <w:rStyle w:val="FunctionTok"/>
        </w:rPr>
        <w:t xml:space="preserve">colnames</w:t>
      </w:r>
      <w:r>
        <w:rPr>
          <w:rStyle w:val="NormalTok"/>
        </w:rPr>
        <w:t xml:space="preserve">(all_price)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"Stochastic Prices"</w:t>
      </w:r>
      <w:r>
        <w:rPr>
          <w:rStyle w:val="NormalTok"/>
        </w:rPr>
        <w:t xml:space="preserve">,</w:t>
      </w:r>
      <w:r>
        <w:rPr>
          <w:rStyle w:val="StringTok"/>
        </w:rPr>
        <w:t xml:space="preserve">"Non-Stochastic Prices"</w:t>
      </w:r>
      <w:r>
        <w:rPr>
          <w:rStyle w:val="NormalTok"/>
        </w:rPr>
        <w:t xml:space="preserve">)</w:t>
      </w:r>
      <w:r>
        <w:br/>
      </w:r>
      <w:r>
        <w:rPr>
          <w:rStyle w:val="CommentTok"/>
        </w:rPr>
        <w:t xml:space="preserve">#colnames(all_price)[2] &lt;- “Non-Stochastic”</w:t>
      </w:r>
      <w:r>
        <w:br/>
      </w:r>
      <w:r>
        <w:rPr>
          <w:rStyle w:val="CommentTok"/>
        </w:rPr>
        <w:t xml:space="preserve">#rownames(all_price) &lt;- c("Q1","Q2","Q3","Q4", "Q5")</w:t>
      </w:r>
      <w:r>
        <w:br/>
      </w:r>
      <w:r>
        <w:rPr>
          <w:rStyle w:val="NormalTok"/>
        </w:rPr>
        <w:t xml:space="preserve">all_price</w:t>
      </w:r>
    </w:p>
    <w:p>
      <w:pPr>
        <w:pStyle w:val="SourceCode"/>
      </w:pPr>
      <w:r>
        <w:rPr>
          <w:rStyle w:val="VerbatimChar"/>
        </w:rPr>
        <w:t xml:space="preserve">##      Stochastic Prices Non-Stochastic Prices</w:t>
      </w:r>
      <w:r>
        <w:br/>
      </w:r>
      <w:r>
        <w:rPr>
          <w:rStyle w:val="VerbatimChar"/>
        </w:rPr>
        <w:t xml:space="preserve">## [1,]            -0.172          -0.172183133</w:t>
      </w:r>
      <w:r>
        <w:br/>
      </w:r>
      <w:r>
        <w:rPr>
          <w:rStyle w:val="VerbatimChar"/>
        </w:rPr>
        <w:t xml:space="preserve">## [2,]             0.048          -0.009381303</w:t>
      </w:r>
      <w:r>
        <w:br/>
      </w:r>
      <w:r>
        <w:rPr>
          <w:rStyle w:val="VerbatimChar"/>
        </w:rPr>
        <w:t xml:space="preserve">## [3,]             0.118           0.045767803</w:t>
      </w:r>
      <w:r>
        <w:br/>
      </w:r>
      <w:r>
        <w:rPr>
          <w:rStyle w:val="VerbatimChar"/>
        </w:rPr>
        <w:t xml:space="preserve">## [4,]             0.054          -0.006263111</w:t>
      </w:r>
      <w:r>
        <w:br/>
      </w:r>
      <w:r>
        <w:rPr>
          <w:rStyle w:val="VerbatimChar"/>
        </w:rPr>
        <w:t xml:space="preserve">## [5,]            -0.108          -0.165920022</w:t>
      </w:r>
      <w:r>
        <w:br/>
      </w:r>
      <w:r>
        <w:rPr>
          <w:rStyle w:val="VerbatimChar"/>
        </w:rPr>
        <w:t xml:space="preserve">## [6,]             0.035          -0.003171419</w:t>
      </w:r>
      <w:r>
        <w:br/>
      </w:r>
      <w:r>
        <w:rPr>
          <w:rStyle w:val="VerbatimChar"/>
        </w:rPr>
        <w:t xml:space="preserve">## [7,]             0.071           0.051977686</w:t>
      </w:r>
      <w:r>
        <w:br/>
      </w:r>
      <w:r>
        <w:rPr>
          <w:rStyle w:val="VerbatimChar"/>
        </w:rPr>
        <w:t xml:space="preserve">## [8,]             0.000           0.000000000</w:t>
      </w:r>
    </w:p>
    <w:p>
      <w:pPr>
        <w:pStyle w:val="SourceCode"/>
      </w:pPr>
      <w:r>
        <w:rPr>
          <w:rStyle w:val="FunctionTok"/>
        </w:rPr>
        <w:t xml:space="preserve">barplot</w:t>
      </w:r>
      <w:r>
        <w:rPr>
          <w:rStyle w:val="NormalTok"/>
        </w:rPr>
        <w:t xml:space="preserve">(all_price, </w:t>
      </w:r>
      <w:r>
        <w:rPr>
          <w:rStyle w:val="AttributeTok"/>
        </w:rPr>
        <w:t xml:space="preserve">main=</w:t>
      </w:r>
      <w:r>
        <w:rPr>
          <w:rStyle w:val="StringTok"/>
        </w:rPr>
        <w:t xml:space="preserve">"Q8 Basis With and Without Pricing Uncertainty"</w:t>
      </w:r>
      <w:r>
        <w:rPr>
          <w:rStyle w:val="NormalTok"/>
        </w:rPr>
        <w:t xml:space="preserve">,</w:t>
      </w:r>
      <w:r>
        <w:rPr>
          <w:rStyle w:val="AttributeTok"/>
        </w:rPr>
        <w:t xml:space="preserve">ylab=</w:t>
      </w:r>
      <w:r>
        <w:rPr>
          <w:rStyle w:val="StringTok"/>
        </w:rPr>
        <w:t xml:space="preserve">"$/bu"</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utures-Prices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2021-08-04T16:43:29Z</dcterms:created>
  <dcterms:modified xsi:type="dcterms:W3CDTF">2021-08-04T16:43:29Z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