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jc w:val="left"/>
      </w:pPr>
      <w:r>
        <w:drawing>
          <wp:inline xmlns:a="http://schemas.openxmlformats.org/drawingml/2006/main" xmlns:pic="http://schemas.openxmlformats.org/drawingml/2006/picture">
            <wp:extent cx="1944000" cy="615600"/>
            <wp:docPr id="1" name="Picture 1"/>
            <wp:cNvGraphicFramePr>
              <a:graphicFrameLocks noChangeAspect="1"/>
            </wp:cNvGraphicFramePr>
            <a:graphic>
              <a:graphicData uri="http://schemas.openxmlformats.org/drawingml/2006/picture">
                <pic:pic>
                  <pic:nvPicPr>
                    <pic:cNvPr id="0" name="maxifi-logo.png"/>
                    <pic:cNvPicPr/>
                  </pic:nvPicPr>
                  <pic:blipFill>
                    <a:blip r:embed="rId9"/>
                    <a:stretch>
                      <a:fillRect/>
                    </a:stretch>
                  </pic:blipFill>
                  <pic:spPr>
                    <a:xfrm>
                      <a:off x="0" y="0"/>
                      <a:ext cx="1944000" cy="615600"/>
                    </a:xfrm>
                    <a:prstGeom prst="rect"/>
                  </pic:spPr>
                </pic:pic>
              </a:graphicData>
            </a:graphic>
          </wp:inline>
        </w:drawing>
      </w:r>
    </w:p>
    <w:p>
      <w:pPr>
        <w:spacing w:before="200" w:after="40" w:line="269" w:lineRule="auto"/>
      </w:pPr>
      <w:r>
        <w:rPr>
          <w:rFonts w:ascii="Aptos" w:hAnsi="Aptos" w:cs="Aptos"/>
          <w:b/>
          <w:i w:val="0"/>
          <w:caps/>
          <w:color w:val="6B6B6B"/>
          <w:spacing w:val="40"/>
          <w:sz w:val="18"/>
        </w:rPr>
        <w:t>ANSWER ENGINE OPTIMISATION  ·  CLIENT PLAYBOOK</w:t>
      </w:r>
    </w:p>
    <w:p>
      <w:pPr>
        <w:spacing w:before="0" w:after="40" w:line="269" w:lineRule="auto"/>
      </w:pPr>
      <w:r>
        <w:rPr>
          <w:rFonts w:ascii="Aptos" w:hAnsi="Aptos" w:cs="Aptos"/>
          <w:b/>
          <w:i w:val="0"/>
          <w:color w:val="111111"/>
          <w:sz w:val="52"/>
        </w:rPr>
        <w:t>Event &amp; Conference AEO Checklist</w:t>
      </w:r>
    </w:p>
    <w:p>
      <w:pPr>
        <w:pBdr>
          <w:bottom w:val="single" w:sz="12" w:space="6" w:color="111111"/>
        </w:pBdr>
        <w:spacing w:before="0" w:after="160" w:line="269" w:lineRule="auto"/>
      </w:pPr>
      <w:r>
        <w:rPr>
          <w:rFonts w:ascii="Aptos" w:hAnsi="Aptos" w:cs="Aptos"/>
          <w:b w:val="0"/>
          <w:i/>
          <w:color w:val="6B6B6B"/>
          <w:sz w:val="24"/>
        </w:rPr>
        <w:t>How to organise your event for AI visibility — the parts you control by code, and the authority you earn off-page.</w:t>
      </w:r>
    </w:p>
    <w:p>
      <w:pPr>
        <w:spacing w:before="0" w:after="160" w:line="269" w:lineRule="auto"/>
      </w:pPr>
      <w:r>
        <w:rPr>
          <w:rFonts w:ascii="Aptos" w:hAnsi="Aptos" w:cs="Aptos"/>
          <w:b w:val="0"/>
          <w:i w:val="0"/>
          <w:sz w:val="21"/>
        </w:rPr>
        <w:t>AI answer engines — ChatGPT, Claude, Perplexity, Google AI Overviews, Microsoft Copilot and Gemini — increasingly decide what your audience learns about your event before they ever reach a website. This checklist is the working method we use to make an organisation the source those engines cite. It separates the work into what can be solved by code (we deliver it) and the authority that can only be earned through relationships and time (you own it, we guide it).</w:t>
      </w:r>
    </w:p>
    <w:p>
      <w:pPr>
        <w:spacing w:before="120" w:after="40" w:line="269" w:lineRule="auto"/>
      </w:pPr>
      <w:r>
        <w:rPr>
          <w:rFonts w:ascii="Aptos" w:hAnsi="Aptos" w:cs="Aptos"/>
          <w:b/>
          <w:i w:val="0"/>
          <w:color w:val="111111"/>
          <w:sz w:val="24"/>
        </w:rPr>
        <w:t>The citation pipeline</w:t>
      </w:r>
    </w:p>
    <w:p>
      <w:pPr>
        <w:spacing w:before="0" w:after="80" w:line="269" w:lineRule="auto"/>
      </w:pPr>
      <w:r>
        <w:rPr>
          <w:rFonts w:ascii="Aptos" w:hAnsi="Aptos" w:cs="Aptos"/>
          <w:b/>
          <w:i w:val="0"/>
          <w:color w:val="111111"/>
          <w:spacing w:val="10"/>
          <w:sz w:val="21"/>
        </w:rPr>
        <w:t>CRAWLED   →   INDEXED   →   RETRIEVED for the query   →   CHOSEN over rivals   →   CITED</w:t>
      </w:r>
    </w:p>
    <w:p>
      <w:pPr>
        <w:spacing w:before="0" w:after="160" w:line="269" w:lineRule="auto"/>
      </w:pPr>
      <w:r>
        <w:rPr>
          <w:rFonts w:ascii="Aptos" w:hAnsi="Aptos" w:cs="Aptos"/>
          <w:b w:val="0"/>
          <w:i w:val="0"/>
          <w:sz w:val="21"/>
        </w:rPr>
        <w:t>Every stage must pass. Stages 1–2 are won by code and only get you into the candidate pool — necessary, but not sufficient. Stages 3–4 are won off-page: authority, corroboration and the link graph decide whether you are retrieved and chosen ahead of the official and established sources. Most organisers assume great content wins. It doesn’t — authoritative, corroborated content wins.</w:t>
      </w:r>
    </w:p>
    <w:p>
      <w:pPr>
        <w:spacing w:before="40" w:after="160" w:line="269" w:lineRule="auto"/>
      </w:pPr>
      <w:r>
        <w:rPr>
          <w:rFonts w:ascii="Aptos" w:hAnsi="Aptos" w:cs="Aptos"/>
          <w:b/>
          <w:i w:val="0"/>
          <w:color w:val="111111"/>
          <w:sz w:val="18"/>
        </w:rPr>
        <w:t xml:space="preserve">Legend:   </w:t>
      </w:r>
      <w:r>
        <w:rPr>
          <w:rFonts w:ascii="Aptos" w:hAnsi="Aptos" w:cs="Aptos"/>
          <w:b/>
          <w:i w:val="0"/>
          <w:color w:val="111111"/>
          <w:sz w:val="18"/>
        </w:rPr>
        <w:t xml:space="preserve">[CODE] </w:t>
      </w:r>
      <w:r>
        <w:rPr>
          <w:rFonts w:ascii="Aptos" w:hAnsi="Aptos" w:cs="Aptos"/>
          <w:b w:val="0"/>
          <w:i w:val="0"/>
          <w:color w:val="6B6B6B"/>
          <w:sz w:val="18"/>
        </w:rPr>
        <w:t xml:space="preserve">controllable on-page — Maxifi delivers.     </w:t>
      </w:r>
      <w:r>
        <w:rPr>
          <w:rFonts w:ascii="Aptos" w:hAnsi="Aptos" w:cs="Aptos"/>
          <w:b/>
          <w:i w:val="0"/>
          <w:color w:val="111111"/>
          <w:sz w:val="18"/>
        </w:rPr>
        <w:t xml:space="preserve">[OFF] </w:t>
      </w:r>
      <w:r>
        <w:rPr>
          <w:rFonts w:ascii="Aptos" w:hAnsi="Aptos" w:cs="Aptos"/>
          <w:b w:val="0"/>
          <w:i w:val="0"/>
          <w:color w:val="6B6B6B"/>
          <w:sz w:val="18"/>
        </w:rPr>
        <w:t xml:space="preserve">off-page authority — client-owned, Maxifi advises.     </w:t>
      </w:r>
      <w:r>
        <w:rPr>
          <w:rFonts w:ascii="Aptos" w:hAnsi="Aptos" w:cs="Aptos"/>
          <w:b/>
          <w:i w:val="0"/>
          <w:color w:val="111111"/>
          <w:sz w:val="18"/>
        </w:rPr>
        <w:t xml:space="preserve">[JOINT] </w:t>
      </w:r>
      <w:r>
        <w:rPr>
          <w:rFonts w:ascii="Aptos" w:hAnsi="Aptos" w:cs="Aptos"/>
          <w:b w:val="0"/>
          <w:i w:val="0"/>
          <w:color w:val="6B6B6B"/>
          <w:sz w:val="18"/>
        </w:rPr>
        <w:t>shared — fastest combined.</w:t>
      </w:r>
    </w:p>
    <w:p>
      <w:pPr>
        <w:pBdr>
          <w:bottom w:val="single" w:sz="12" w:space="6" w:color="111111"/>
        </w:pBdr>
        <w:spacing w:before="320" w:after="40" w:line="269" w:lineRule="auto"/>
      </w:pPr>
      <w:r>
        <w:rPr>
          <w:rFonts w:ascii="Aptos" w:hAnsi="Aptos" w:cs="Aptos"/>
          <w:b/>
          <w:i w:val="0"/>
          <w:color w:val="6B6B6B"/>
          <w:sz w:val="26"/>
        </w:rPr>
        <w:t xml:space="preserve">■   </w:t>
      </w:r>
      <w:r>
        <w:rPr>
          <w:rFonts w:ascii="Aptos" w:hAnsi="Aptos" w:cs="Aptos"/>
          <w:b/>
          <w:i w:val="0"/>
          <w:color w:val="111111"/>
          <w:sz w:val="28"/>
        </w:rPr>
        <w:t>The division of labour — the “bolt-on” model</w:t>
      </w:r>
    </w:p>
    <w:p>
      <w:pPr>
        <w:spacing w:before="0" w:after="120" w:line="269" w:lineRule="auto"/>
      </w:pPr>
      <w:r>
        <w:rPr>
          <w:rFonts w:ascii="Aptos" w:hAnsi="Aptos" w:cs="Aptos"/>
          <w:b w:val="0"/>
          <w:i w:val="0"/>
          <w:sz w:val="21"/>
        </w:rPr>
        <w:t>The fastest route to AI visibility combines what only you can grant — authority — with what we build and run: code, content and measurement.</w:t>
      </w:r>
    </w:p>
    <w:tbl>
      <w:tblPr>
        <w:tblW w:type="auto" w:w="0"/>
        <w:jc w:val="center"/>
        <w:tblBorders>
          <w:top w:val="single" w:sz="4" w:space="0" w:color="D8D2C4"/>
          <w:bottom w:val="single" w:sz="4" w:space="0" w:color="D8D2C4"/>
          <w:insideH w:val="single" w:sz="4" w:space="0" w:color="D8D2C4"/>
          <w:left w:val="none" w:sz="0" w:space="0" w:color="auto"/>
          <w:right w:val="none" w:sz="0" w:space="0" w:color="auto"/>
          <w:insideV w:val="none" w:sz="0" w:space="0" w:color="auto"/>
        </w:tblBorders>
        <w:tblLayout w:type="fixed"/>
        <w:tblCellMar>
          <w:top w:w="80" w:type="dxa"/>
          <w:bottom w:w="80" w:type="dxa"/>
          <w:left w:w="120" w:type="dxa"/>
          <w:right w:w="120" w:type="dxa"/>
        </w:tblCellMar>
        <w:tblLook w:firstColumn="1" w:firstRow="1" w:lastColumn="0" w:lastRow="0" w:noHBand="0" w:noVBand="1" w:val="04A0"/>
      </w:tblPr>
      <w:tblGrid>
        <w:gridCol w:w="3324"/>
        <w:gridCol w:w="3324"/>
        <w:gridCol w:w="3324"/>
      </w:tblGrid>
      <w:tr>
        <w:tc>
          <w:tcPr>
            <w:tcW w:type="dxa" w:w="2211"/>
            <w:shd w:val="clear" w:color="auto" w:fill="111111"/>
          </w:tcPr>
          <w:p>
            <w:pPr>
              <w:spacing w:after="40" w:before="40"/>
            </w:pPr>
            <w:r>
              <w:rPr>
                <w:rFonts w:ascii="Aptos" w:hAnsi="Aptos" w:cs="Aptos"/>
                <w:b/>
                <w:i w:val="0"/>
                <w:color w:val="FFFFFF"/>
                <w:sz w:val="20"/>
              </w:rPr>
              <w:t>Domain</w:t>
            </w:r>
          </w:p>
        </w:tc>
        <w:tc>
          <w:tcPr>
            <w:tcW w:type="dxa" w:w="3175"/>
            <w:shd w:val="clear" w:color="auto" w:fill="111111"/>
          </w:tcPr>
          <w:p>
            <w:pPr>
              <w:spacing w:after="40" w:before="40"/>
            </w:pPr>
            <w:r>
              <w:rPr>
                <w:rFonts w:ascii="Aptos" w:hAnsi="Aptos" w:cs="Aptos"/>
                <w:b/>
                <w:i w:val="0"/>
                <w:color w:val="FFFFFF"/>
                <w:sz w:val="20"/>
              </w:rPr>
              <w:t>You (client) own</w:t>
            </w:r>
          </w:p>
        </w:tc>
        <w:tc>
          <w:tcPr>
            <w:tcW w:type="dxa" w:w="3969"/>
            <w:shd w:val="clear" w:color="auto" w:fill="111111"/>
          </w:tcPr>
          <w:p>
            <w:pPr>
              <w:spacing w:after="40" w:before="40"/>
            </w:pPr>
            <w:r>
              <w:rPr>
                <w:rFonts w:ascii="Aptos" w:hAnsi="Aptos" w:cs="Aptos"/>
                <w:b/>
                <w:i w:val="0"/>
                <w:color w:val="FFFFFF"/>
                <w:sz w:val="20"/>
              </w:rPr>
              <w:t>Maxifi delivers</w:t>
            </w:r>
          </w:p>
        </w:tc>
      </w:tr>
      <w:tr>
        <w:tc>
          <w:tcPr>
            <w:tcW w:type="dxa" w:w="2211"/>
            <w:shd w:val="clear" w:color="auto" w:fill="FFFFFF"/>
          </w:tcPr>
          <w:p>
            <w:pPr>
              <w:spacing w:after="40" w:before="40"/>
            </w:pPr>
            <w:r>
              <w:rPr>
                <w:rFonts w:ascii="Aptos" w:hAnsi="Aptos" w:cs="Aptos"/>
                <w:b/>
                <w:i w:val="0"/>
                <w:color w:val="111111"/>
                <w:sz w:val="19"/>
              </w:rPr>
              <w:t>Authority  [OFF]</w:t>
            </w:r>
          </w:p>
        </w:tc>
        <w:tc>
          <w:tcPr>
            <w:tcW w:type="dxa" w:w="3175"/>
            <w:shd w:val="clear" w:color="auto" w:fill="FFFFFF"/>
          </w:tcPr>
          <w:p>
            <w:pPr>
              <w:spacing w:after="40" w:before="40"/>
            </w:pPr>
            <w:r>
              <w:rPr>
                <w:rFonts w:ascii="Aptos" w:hAnsi="Aptos" w:cs="Aptos"/>
                <w:b w:val="0"/>
                <w:i w:val="0"/>
                <w:color w:val="333333"/>
                <w:sz w:val="19"/>
              </w:rPr>
              <w:t>The official-domain backlink; organising-body endorsement; speaker and partner links</w:t>
            </w:r>
          </w:p>
        </w:tc>
        <w:tc>
          <w:tcPr>
            <w:tcW w:type="dxa" w:w="3969"/>
            <w:shd w:val="clear" w:color="auto" w:fill="FFFFFF"/>
          </w:tcPr>
          <w:p>
            <w:pPr>
              <w:spacing w:after="40" w:before="40"/>
            </w:pPr>
            <w:r>
              <w:rPr>
                <w:rFonts w:ascii="Aptos" w:hAnsi="Aptos" w:cs="Aptos"/>
                <w:b w:val="0"/>
                <w:i w:val="0"/>
                <w:color w:val="333333"/>
                <w:sz w:val="19"/>
              </w:rPr>
              <w:t>Advisory on who to ask, what anchor text, and which pages to point at</w:t>
            </w:r>
          </w:p>
        </w:tc>
      </w:tr>
      <w:tr>
        <w:tc>
          <w:tcPr>
            <w:tcW w:type="dxa" w:w="2211"/>
            <w:shd w:val="clear" w:color="auto" w:fill="F4F1E9"/>
          </w:tcPr>
          <w:p>
            <w:pPr>
              <w:spacing w:after="40" w:before="40"/>
            </w:pPr>
            <w:r>
              <w:rPr>
                <w:rFonts w:ascii="Aptos" w:hAnsi="Aptos" w:cs="Aptos"/>
                <w:b/>
                <w:i w:val="0"/>
                <w:color w:val="111111"/>
                <w:sz w:val="19"/>
              </w:rPr>
              <w:t>Corroboration  [OFF]</w:t>
            </w:r>
          </w:p>
        </w:tc>
        <w:tc>
          <w:tcPr>
            <w:tcW w:type="dxa" w:w="3175"/>
            <w:shd w:val="clear" w:color="auto" w:fill="F4F1E9"/>
          </w:tcPr>
          <w:p>
            <w:pPr>
              <w:spacing w:after="40" w:before="40"/>
            </w:pPr>
            <w:r>
              <w:rPr>
                <w:rFonts w:ascii="Aptos" w:hAnsi="Aptos" w:cs="Aptos"/>
                <w:b w:val="0"/>
                <w:i w:val="0"/>
                <w:color w:val="333333"/>
                <w:sz w:val="19"/>
              </w:rPr>
              <w:t>Press relationships; consistency with the official narrative</w:t>
            </w:r>
          </w:p>
        </w:tc>
        <w:tc>
          <w:tcPr>
            <w:tcW w:type="dxa" w:w="3969"/>
            <w:shd w:val="clear" w:color="auto" w:fill="F4F1E9"/>
          </w:tcPr>
          <w:p>
            <w:pPr>
              <w:spacing w:after="40" w:before="40"/>
            </w:pPr>
            <w:r>
              <w:rPr>
                <w:rFonts w:ascii="Aptos" w:hAnsi="Aptos" w:cs="Aptos"/>
                <w:b w:val="0"/>
                <w:i w:val="0"/>
                <w:color w:val="333333"/>
                <w:sz w:val="19"/>
              </w:rPr>
              <w:t>Content engineered to match and extend the official record so corroboration aligns</w:t>
            </w:r>
          </w:p>
        </w:tc>
      </w:tr>
      <w:tr>
        <w:tc>
          <w:tcPr>
            <w:tcW w:type="dxa" w:w="2211"/>
            <w:shd w:val="clear" w:color="auto" w:fill="FFFFFF"/>
          </w:tcPr>
          <w:p>
            <w:pPr>
              <w:spacing w:after="40" w:before="40"/>
            </w:pPr>
            <w:r>
              <w:rPr>
                <w:rFonts w:ascii="Aptos" w:hAnsi="Aptos" w:cs="Aptos"/>
                <w:b/>
                <w:i w:val="0"/>
                <w:color w:val="111111"/>
                <w:sz w:val="19"/>
              </w:rPr>
              <w:t>Link graph  [JOINT]</w:t>
            </w:r>
          </w:p>
        </w:tc>
        <w:tc>
          <w:tcPr>
            <w:tcW w:type="dxa" w:w="3175"/>
            <w:shd w:val="clear" w:color="auto" w:fill="FFFFFF"/>
          </w:tcPr>
          <w:p>
            <w:pPr>
              <w:spacing w:after="40" w:before="40"/>
            </w:pPr>
            <w:r>
              <w:rPr>
                <w:rFonts w:ascii="Aptos" w:hAnsi="Aptos" w:cs="Aptos"/>
                <w:b w:val="0"/>
                <w:i w:val="0"/>
                <w:color w:val="333333"/>
                <w:sz w:val="19"/>
              </w:rPr>
              <w:t>Approving links from your owned channels</w:t>
            </w:r>
          </w:p>
        </w:tc>
        <w:tc>
          <w:tcPr>
            <w:tcW w:type="dxa" w:w="3969"/>
            <w:shd w:val="clear" w:color="auto" w:fill="FFFFFF"/>
          </w:tcPr>
          <w:p>
            <w:pPr>
              <w:spacing w:after="40" w:before="40"/>
            </w:pPr>
            <w:r>
              <w:rPr>
                <w:rFonts w:ascii="Aptos" w:hAnsi="Aptos" w:cs="Aptos"/>
                <w:b w:val="0"/>
                <w:i w:val="0"/>
                <w:color w:val="333333"/>
                <w:sz w:val="19"/>
              </w:rPr>
              <w:t>Distribution scaffolding, anchor strategy and link targets</w:t>
            </w:r>
          </w:p>
        </w:tc>
      </w:tr>
      <w:tr>
        <w:tc>
          <w:tcPr>
            <w:tcW w:type="dxa" w:w="2211"/>
            <w:shd w:val="clear" w:color="auto" w:fill="F4F1E9"/>
          </w:tcPr>
          <w:p>
            <w:pPr>
              <w:spacing w:after="40" w:before="40"/>
            </w:pPr>
            <w:r>
              <w:rPr>
                <w:rFonts w:ascii="Aptos" w:hAnsi="Aptos" w:cs="Aptos"/>
                <w:b/>
                <w:i w:val="0"/>
                <w:color w:val="111111"/>
                <w:sz w:val="19"/>
              </w:rPr>
              <w:t>Knowledge base  [JOINT]</w:t>
            </w:r>
          </w:p>
        </w:tc>
        <w:tc>
          <w:tcPr>
            <w:tcW w:type="dxa" w:w="3175"/>
            <w:shd w:val="clear" w:color="auto" w:fill="F4F1E9"/>
          </w:tcPr>
          <w:p>
            <w:pPr>
              <w:spacing w:after="40" w:before="40"/>
            </w:pPr>
            <w:r>
              <w:rPr>
                <w:rFonts w:ascii="Aptos" w:hAnsi="Aptos" w:cs="Aptos"/>
                <w:b w:val="0"/>
                <w:i w:val="0"/>
                <w:color w:val="333333"/>
                <w:sz w:val="19"/>
              </w:rPr>
              <w:t>Notability facts and sign-off</w:t>
            </w:r>
          </w:p>
        </w:tc>
        <w:tc>
          <w:tcPr>
            <w:tcW w:type="dxa" w:w="3969"/>
            <w:shd w:val="clear" w:color="auto" w:fill="F4F1E9"/>
          </w:tcPr>
          <w:p>
            <w:pPr>
              <w:spacing w:after="40" w:before="40"/>
            </w:pPr>
            <w:r>
              <w:rPr>
                <w:rFonts w:ascii="Aptos" w:hAnsi="Aptos" w:cs="Aptos"/>
                <w:b w:val="0"/>
                <w:i w:val="0"/>
                <w:color w:val="333333"/>
                <w:sz w:val="19"/>
              </w:rPr>
              <w:t>Wikidata items and sameAs schema wiring</w:t>
            </w:r>
          </w:p>
        </w:tc>
      </w:tr>
      <w:tr>
        <w:tc>
          <w:tcPr>
            <w:tcW w:type="dxa" w:w="2211"/>
            <w:shd w:val="clear" w:color="auto" w:fill="FFFFFF"/>
          </w:tcPr>
          <w:p>
            <w:pPr>
              <w:spacing w:after="40" w:before="40"/>
            </w:pPr>
            <w:r>
              <w:rPr>
                <w:rFonts w:ascii="Aptos" w:hAnsi="Aptos" w:cs="Aptos"/>
                <w:b/>
                <w:i w:val="0"/>
                <w:color w:val="111111"/>
                <w:sz w:val="19"/>
              </w:rPr>
              <w:t>Code / technical  [CODE]</w:t>
            </w:r>
          </w:p>
        </w:tc>
        <w:tc>
          <w:tcPr>
            <w:tcW w:type="dxa" w:w="3175"/>
            <w:shd w:val="clear" w:color="auto" w:fill="FFFFFF"/>
          </w:tcPr>
          <w:p>
            <w:pPr>
              <w:spacing w:after="40" w:before="40"/>
            </w:pPr>
            <w:r>
              <w:rPr>
                <w:rFonts w:ascii="Aptos" w:hAnsi="Aptos" w:cs="Aptos"/>
                <w:b w:val="0"/>
                <w:i/>
                <w:color w:val="333333"/>
                <w:sz w:val="19"/>
              </w:rPr>
              <w:t>—</w:t>
            </w:r>
          </w:p>
        </w:tc>
        <w:tc>
          <w:tcPr>
            <w:tcW w:type="dxa" w:w="3969"/>
            <w:shd w:val="clear" w:color="auto" w:fill="FFFFFF"/>
          </w:tcPr>
          <w:p>
            <w:pPr>
              <w:spacing w:after="40" w:before="40"/>
            </w:pPr>
            <w:r>
              <w:rPr>
                <w:rFonts w:ascii="Aptos" w:hAnsi="Aptos" w:cs="Aptos"/>
                <w:b w:val="0"/>
                <w:i w:val="0"/>
                <w:color w:val="333333"/>
                <w:sz w:val="19"/>
              </w:rPr>
              <w:t>Crawl policy, sitemap, schema, FAQ engineering, entity pages, performance</w:t>
            </w:r>
          </w:p>
        </w:tc>
      </w:tr>
      <w:tr>
        <w:tc>
          <w:tcPr>
            <w:tcW w:type="dxa" w:w="2211"/>
            <w:shd w:val="clear" w:color="auto" w:fill="F4F1E9"/>
          </w:tcPr>
          <w:p>
            <w:pPr>
              <w:spacing w:after="40" w:before="40"/>
            </w:pPr>
            <w:r>
              <w:rPr>
                <w:rFonts w:ascii="Aptos" w:hAnsi="Aptos" w:cs="Aptos"/>
                <w:b/>
                <w:i w:val="0"/>
                <w:color w:val="111111"/>
                <w:sz w:val="19"/>
              </w:rPr>
              <w:t>Bolt-on AEO pages  [CODE]</w:t>
            </w:r>
          </w:p>
        </w:tc>
        <w:tc>
          <w:tcPr>
            <w:tcW w:type="dxa" w:w="3175"/>
            <w:shd w:val="clear" w:color="auto" w:fill="F4F1E9"/>
          </w:tcPr>
          <w:p>
            <w:pPr>
              <w:spacing w:after="40" w:before="40"/>
            </w:pPr>
            <w:r>
              <w:rPr>
                <w:rFonts w:ascii="Aptos" w:hAnsi="Aptos" w:cs="Aptos"/>
                <w:b w:val="0"/>
                <w:i w:val="0"/>
                <w:color w:val="333333"/>
                <w:sz w:val="19"/>
              </w:rPr>
              <w:t>Source material: programme, speakers, recordings</w:t>
            </w:r>
          </w:p>
        </w:tc>
        <w:tc>
          <w:tcPr>
            <w:tcW w:type="dxa" w:w="3969"/>
            <w:shd w:val="clear" w:color="auto" w:fill="F4F1E9"/>
          </w:tcPr>
          <w:p>
            <w:pPr>
              <w:spacing w:after="40" w:before="40"/>
            </w:pPr>
            <w:r>
              <w:rPr>
                <w:rFonts w:ascii="Aptos" w:hAnsi="Aptos" w:cs="Aptos"/>
                <w:b w:val="0"/>
                <w:i w:val="0"/>
                <w:color w:val="333333"/>
                <w:sz w:val="19"/>
              </w:rPr>
              <w:t>The canonical, schema-rich, FAQ-first session and speaker records that become the citable source</w:t>
            </w:r>
          </w:p>
        </w:tc>
      </w:tr>
      <w:tr>
        <w:tc>
          <w:tcPr>
            <w:tcW w:type="dxa" w:w="2211"/>
            <w:shd w:val="clear" w:color="auto" w:fill="FFFFFF"/>
          </w:tcPr>
          <w:p>
            <w:pPr>
              <w:spacing w:after="40" w:before="40"/>
            </w:pPr>
            <w:r>
              <w:rPr>
                <w:rFonts w:ascii="Aptos" w:hAnsi="Aptos" w:cs="Aptos"/>
                <w:b/>
                <w:i w:val="0"/>
                <w:color w:val="111111"/>
                <w:sz w:val="19"/>
              </w:rPr>
              <w:t>Measurement  [CODE]</w:t>
            </w:r>
          </w:p>
        </w:tc>
        <w:tc>
          <w:tcPr>
            <w:tcW w:type="dxa" w:w="3175"/>
            <w:shd w:val="clear" w:color="auto" w:fill="FFFFFF"/>
          </w:tcPr>
          <w:p>
            <w:pPr>
              <w:spacing w:after="40" w:before="40"/>
            </w:pPr>
            <w:r>
              <w:rPr>
                <w:rFonts w:ascii="Aptos" w:hAnsi="Aptos" w:cs="Aptos"/>
                <w:b w:val="0"/>
                <w:i/>
                <w:color w:val="333333"/>
                <w:sz w:val="19"/>
              </w:rPr>
              <w:t>—</w:t>
            </w:r>
          </w:p>
        </w:tc>
        <w:tc>
          <w:tcPr>
            <w:tcW w:type="dxa" w:w="3969"/>
            <w:shd w:val="clear" w:color="auto" w:fill="FFFFFF"/>
          </w:tcPr>
          <w:p>
            <w:pPr>
              <w:spacing w:after="40" w:before="40"/>
            </w:pPr>
            <w:r>
              <w:rPr>
                <w:rFonts w:ascii="Aptos" w:hAnsi="Aptos" w:cs="Aptos"/>
                <w:b w:val="0"/>
                <w:i w:val="0"/>
                <w:color w:val="333333"/>
                <w:sz w:val="19"/>
              </w:rPr>
              <w:t>Monthly six-engine citation audit, indexation monitoring and reporting</w:t>
            </w:r>
          </w:p>
        </w:tc>
      </w:tr>
    </w:tbl>
    <w:p>
      <w:pPr>
        <w:spacing w:before="160" w:after="80" w:line="269" w:lineRule="auto"/>
      </w:pPr>
      <w:r>
        <w:rPr>
          <w:rFonts w:ascii="Aptos" w:hAnsi="Aptos" w:cs="Aptos"/>
          <w:b w:val="0"/>
          <w:i/>
          <w:color w:val="6B6B6B"/>
          <w:sz w:val="20"/>
        </w:rPr>
        <w:t>A “bolt-on” AEO page is a canonical, machine-extractable record for each session or speaker that sits alongside your existing event site — FAQ-first, schema-complete, entity-linked, with verified primary detail. You supply the raw material; we build the page and run the measurement. One official backlink from your domain is what lights it up.</w:t>
      </w:r>
    </w:p>
    <w:p>
      <w:pPr>
        <w:pBdr>
          <w:bottom w:val="single" w:sz="12" w:space="6" w:color="111111"/>
        </w:pBdr>
        <w:spacing w:before="320" w:after="40" w:line="269" w:lineRule="auto"/>
      </w:pPr>
      <w:r>
        <w:rPr>
          <w:rFonts w:ascii="Aptos" w:hAnsi="Aptos" w:cs="Aptos"/>
          <w:b/>
          <w:i w:val="0"/>
          <w:color w:val="6B6B6B"/>
          <w:sz w:val="26"/>
        </w:rPr>
        <w:t xml:space="preserve">A   </w:t>
      </w:r>
      <w:r>
        <w:rPr>
          <w:rFonts w:ascii="Aptos" w:hAnsi="Aptos" w:cs="Aptos"/>
          <w:b/>
          <w:i w:val="0"/>
          <w:color w:val="111111"/>
          <w:sz w:val="28"/>
        </w:rPr>
        <w:t>Parts you control by code  [CODE]</w:t>
      </w:r>
    </w:p>
    <w:p>
      <w:pPr>
        <w:spacing w:before="0" w:after="80" w:line="269" w:lineRule="auto"/>
      </w:pPr>
      <w:r>
        <w:rPr>
          <w:rFonts w:ascii="Aptos" w:hAnsi="Aptos" w:cs="Aptos"/>
          <w:b w:val="0"/>
          <w:i/>
          <w:color w:val="6B6B6B"/>
          <w:sz w:val="20"/>
        </w:rPr>
        <w:t>On-page and technical AEO. Table stakes — do them all, completely. They get you crawled and indexed and make you the most extractable source in the candidate pool.</w:t>
      </w:r>
    </w:p>
    <w:p>
      <w:pPr>
        <w:spacing w:before="160" w:after="40" w:line="269" w:lineRule="auto"/>
      </w:pPr>
      <w:r>
        <w:rPr>
          <w:rFonts w:ascii="Aptos" w:hAnsi="Aptos" w:cs="Aptos"/>
          <w:b/>
          <w:i w:val="0"/>
          <w:color w:val="111111"/>
          <w:sz w:val="22"/>
        </w:rPr>
        <w:t>A1  Crawl access &amp; bot policy</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robots.txt allows all six AI crawlers and variants (GPTBot, OAI-SearchBot, ChatGPT-User; ClaudeBot, Claude-User, Claude-SearchBot; PerplexityBot, Perplexity-User; Googlebot, Google-Extended; Bingbot; Applebot/Applebot-Extended; CCBot).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No accidental Disallow in a named user-agent group (named groups read only their own rules).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Sitemap directive present in robots.txt; no noindex, auth wall, or JS-gated content on citable pages.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llms.txt published at site root listing canonical URLs.</w:t>
      </w:r>
    </w:p>
    <w:p>
      <w:pPr>
        <w:spacing w:before="160" w:after="40" w:line="269" w:lineRule="auto"/>
      </w:pPr>
      <w:r>
        <w:rPr>
          <w:rFonts w:ascii="Aptos" w:hAnsi="Aptos" w:cs="Aptos"/>
          <w:b/>
          <w:i w:val="0"/>
          <w:color w:val="111111"/>
          <w:sz w:val="22"/>
        </w:rPr>
        <w:t>A2  Indexation &amp; discovery</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XML sitemap auto-generated, lists every canonical URL, kept current.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One canonical domain; self-referential canonical tag on every page; no duplicate URLs.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Deep pages submitted via Search Console / Bing URL Inspection to cut indexing latency.</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Verified in Google Search Console and Bing Webmaster Tools; shallow, logical URL structure.</w:t>
      </w:r>
    </w:p>
    <w:p>
      <w:pPr>
        <w:spacing w:before="160" w:after="40" w:line="269" w:lineRule="auto"/>
      </w:pPr>
      <w:r>
        <w:rPr>
          <w:rFonts w:ascii="Aptos" w:hAnsi="Aptos" w:cs="Aptos"/>
          <w:b/>
          <w:i w:val="0"/>
          <w:color w:val="111111"/>
          <w:sz w:val="22"/>
        </w:rPr>
        <w:t>A3  Structured data / schema</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Event/BusinessEvent JSON-LD on the event and every session (dates, location, status, organizer, superEvent).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Person schema on every speaker (jobTitle, worksFor, sameAs to LinkedIn/Wikipedia/Wikidata).</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FAQPage JSON-LD mirroring visible Q&amp;A verbatim; Organization + WebSite graph site-wide.</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BreadcrumbList per page; VideoObject with transcript where recordings exist.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Every block validates (Rich Results Test / schema.org validator) before it is signed off.</w:t>
      </w:r>
    </w:p>
    <w:p>
      <w:pPr>
        <w:spacing w:before="160" w:after="40" w:line="269" w:lineRule="auto"/>
      </w:pPr>
      <w:r>
        <w:rPr>
          <w:rFonts w:ascii="Aptos" w:hAnsi="Aptos" w:cs="Aptos"/>
          <w:b/>
          <w:i w:val="0"/>
          <w:color w:val="111111"/>
          <w:sz w:val="22"/>
        </w:rPr>
        <w:t>A4  Content engineering (extractability)</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Each page answers one clear intent; the lede paragraph is the liftable answer.</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FAQ-first — highest-intent questions (who spoke, when/where) answered first in 2–3 sentences.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Self-contained citable facts: each statistic carries a number, a date and an inline source.</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Named entities explicit on every mention (full name + role + organisation), never pronouns.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Unique primary information (verified transcripts, quotes, original data), not a rewrite of the official page.</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Consistent locale and entity naming; visible publish and last-updated dates.</w:t>
      </w:r>
    </w:p>
    <w:p>
      <w:pPr>
        <w:spacing w:before="160" w:after="40" w:line="269" w:lineRule="auto"/>
      </w:pPr>
      <w:r>
        <w:rPr>
          <w:rFonts w:ascii="Aptos" w:hAnsi="Aptos" w:cs="Aptos"/>
          <w:b/>
          <w:i w:val="0"/>
          <w:color w:val="111111"/>
          <w:sz w:val="22"/>
        </w:rPr>
        <w:t>A5  Entity &amp; internal link architecture</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Permanent canonical entity page for every speaker and session.</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Topic clusters: theme/track hubs linking to sessions and back; related-content cross-links.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Stable URLs — never break a canonical record once published.</w:t>
      </w:r>
    </w:p>
    <w:p>
      <w:pPr>
        <w:spacing w:before="160" w:after="40" w:line="269" w:lineRule="auto"/>
      </w:pPr>
      <w:r>
        <w:rPr>
          <w:rFonts w:ascii="Aptos" w:hAnsi="Aptos" w:cs="Aptos"/>
          <w:b/>
          <w:i w:val="0"/>
          <w:color w:val="111111"/>
          <w:sz w:val="22"/>
        </w:rPr>
        <w:t>A6  Performance, rendering &amp; accessibility</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Server-rendered / static HTML (content present without JS execution); fast, mobile-clean, valid markup.</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Semantic headings (one H1, ordered H2s); Open Graph + Twitter cards; descriptive image alt text.</w:t>
      </w:r>
    </w:p>
    <w:p>
      <w:pPr>
        <w:spacing w:before="160" w:after="40" w:line="269" w:lineRule="auto"/>
      </w:pPr>
      <w:r>
        <w:rPr>
          <w:rFonts w:ascii="Aptos" w:hAnsi="Aptos" w:cs="Aptos"/>
          <w:b/>
          <w:i w:val="0"/>
          <w:color w:val="111111"/>
          <w:sz w:val="22"/>
        </w:rPr>
        <w:t>A7  On-page provenance &amp; trust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Explicit authorship/publisher, contact and corrections policy; stated source hierarchy.</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Clear independence/affiliation disclosure; a ready-to-use citation string on each record.</w:t>
      </w:r>
    </w:p>
    <w:p>
      <w:pPr>
        <w:pBdr>
          <w:bottom w:val="single" w:sz="12" w:space="6" w:color="111111"/>
        </w:pBdr>
        <w:spacing w:before="320" w:after="40" w:line="269" w:lineRule="auto"/>
      </w:pPr>
      <w:r>
        <w:rPr>
          <w:rFonts w:ascii="Aptos" w:hAnsi="Aptos" w:cs="Aptos"/>
          <w:b/>
          <w:i w:val="0"/>
          <w:color w:val="6B6B6B"/>
          <w:sz w:val="26"/>
        </w:rPr>
        <w:t xml:space="preserve">B   </w:t>
      </w:r>
      <w:r>
        <w:rPr>
          <w:rFonts w:ascii="Aptos" w:hAnsi="Aptos" w:cs="Aptos"/>
          <w:b/>
          <w:i w:val="0"/>
          <w:color w:val="111111"/>
          <w:sz w:val="28"/>
        </w:rPr>
        <w:t>Parts you cannot control by code  [OFF]</w:t>
      </w:r>
    </w:p>
    <w:p>
      <w:pPr>
        <w:spacing w:before="0" w:after="80" w:line="269" w:lineRule="auto"/>
      </w:pPr>
      <w:r>
        <w:rPr>
          <w:rFonts w:ascii="Aptos" w:hAnsi="Aptos" w:cs="Aptos"/>
          <w:b w:val="0"/>
          <w:i/>
          <w:color w:val="6B6B6B"/>
          <w:sz w:val="20"/>
        </w:rPr>
        <w:t>Off-page authority, corroboration and the link graph — this decides retrieval and selection (stages 3–4). Earned over time and through relationships, which is exactly why it is the moat and cannot be faked.</w:t>
      </w:r>
    </w:p>
    <w:p>
      <w:pPr>
        <w:spacing w:before="160" w:after="40" w:line="269" w:lineRule="auto"/>
      </w:pPr>
      <w:r>
        <w:rPr>
          <w:rFonts w:ascii="Aptos" w:hAnsi="Aptos" w:cs="Aptos"/>
          <w:b/>
          <w:i w:val="0"/>
          <w:color w:val="111111"/>
          <w:sz w:val="22"/>
        </w:rPr>
        <w:t>B1  Domain &amp; entity authority  [OFF]</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Inbound links from authoritative, topical domains (official event site, organising body, regulators, established trade press).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Consistent entity signals across the web (same name, same description); domain age and track record (start early).</w:t>
      </w:r>
    </w:p>
    <w:p>
      <w:pPr>
        <w:spacing w:before="160" w:after="40" w:line="269" w:lineRule="auto"/>
      </w:pPr>
      <w:r>
        <w:rPr>
          <w:rFonts w:ascii="Aptos" w:hAnsi="Aptos" w:cs="Aptos"/>
          <w:b/>
          <w:i w:val="0"/>
          <w:color w:val="111111"/>
          <w:sz w:val="22"/>
        </w:rPr>
        <w:t>B2  Corroboration  [OFF]</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The same facts asserted by multiple independent sources that agree with your page.</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Trade-media / news coverage naming the same entities, dates and claims; co-citation alongside trusted pages.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No contradiction with the official record — engines drop conflicting low-authority sources.</w:t>
      </w:r>
    </w:p>
    <w:p>
      <w:pPr>
        <w:spacing w:before="160" w:after="40" w:line="269" w:lineRule="auto"/>
      </w:pPr>
      <w:r>
        <w:rPr>
          <w:rFonts w:ascii="Aptos" w:hAnsi="Aptos" w:cs="Aptos"/>
          <w:b/>
          <w:i w:val="0"/>
          <w:color w:val="111111"/>
          <w:sz w:val="22"/>
        </w:rPr>
        <w:t>B3  Link graph  [OFF] / [JOINT]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Backlink from the official event domain to the canonical records — highest-leverage single action.  [JOINT]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Backlink from the organising body; speaker/sponsor/partner organisations linking to their session pages.  [JOINT]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Trade-press articles linking to the records; earned links over time as people reference them.  [OFF]</w:t>
      </w:r>
    </w:p>
    <w:p>
      <w:pPr>
        <w:spacing w:before="160" w:after="40" w:line="269" w:lineRule="auto"/>
      </w:pPr>
      <w:r>
        <w:rPr>
          <w:rFonts w:ascii="Aptos" w:hAnsi="Aptos" w:cs="Aptos"/>
          <w:b/>
          <w:i w:val="0"/>
          <w:color w:val="111111"/>
          <w:sz w:val="22"/>
        </w:rPr>
        <w:t>B4  Knowledge-base &amp; entity presence  [JOINT]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Wikidata item for the event, key speakers and (where notable) sessions; Wikipedia where notability is genuinely met (never fabricate).</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Google Knowledge Panel / entity recognition; sameAs links from your schema to those entities (the code half).</w:t>
      </w:r>
    </w:p>
    <w:p>
      <w:pPr>
        <w:spacing w:before="160" w:after="40" w:line="269" w:lineRule="auto"/>
      </w:pPr>
      <w:r>
        <w:rPr>
          <w:rFonts w:ascii="Aptos" w:hAnsi="Aptos" w:cs="Aptos"/>
          <w:b/>
          <w:i w:val="0"/>
          <w:color w:val="111111"/>
          <w:sz w:val="22"/>
        </w:rPr>
        <w:t>B5  Brand, social &amp; distribution  [JOINT]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Official channels (LinkedIn, YouTube, press wire) publishing and linking back to the records.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Speakers sharing their own session/profile pages; recordings + transcripts hosted and linked; sustained mentions, not a launch burst.</w:t>
      </w:r>
    </w:p>
    <w:p>
      <w:pPr>
        <w:spacing w:before="160" w:after="40" w:line="269" w:lineRule="auto"/>
      </w:pPr>
      <w:r>
        <w:rPr>
          <w:rFonts w:ascii="Aptos" w:hAnsi="Aptos" w:cs="Aptos"/>
          <w:b/>
          <w:i w:val="0"/>
          <w:color w:val="111111"/>
          <w:sz w:val="22"/>
        </w:rPr>
        <w:t>B6  Primary-source &amp; freshness  [OFF] / [JOINT]</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You are the first or fullest publisher of the verified detail (transcript, quotes, data).</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Records updated as the official record completes; demonstrable recency cadence so engines re-crawl and re-rank.</w:t>
      </w:r>
    </w:p>
    <w:p>
      <w:pPr>
        <w:pBdr>
          <w:bottom w:val="single" w:sz="12" w:space="6" w:color="111111"/>
        </w:pBdr>
        <w:spacing w:before="320" w:after="40" w:line="269" w:lineRule="auto"/>
      </w:pPr>
      <w:r>
        <w:rPr>
          <w:rFonts w:ascii="Aptos" w:hAnsi="Aptos" w:cs="Aptos"/>
          <w:b/>
          <w:i w:val="0"/>
          <w:color w:val="6B6B6B"/>
          <w:sz w:val="26"/>
        </w:rPr>
        <w:t xml:space="preserve">D   </w:t>
      </w:r>
      <w:r>
        <w:rPr>
          <w:rFonts w:ascii="Aptos" w:hAnsi="Aptos" w:cs="Aptos"/>
          <w:b/>
          <w:i w:val="0"/>
          <w:color w:val="111111"/>
          <w:sz w:val="28"/>
        </w:rPr>
        <w:t>Cadence — when each item happens</w:t>
      </w:r>
    </w:p>
    <w:p>
      <w:pPr>
        <w:spacing w:before="60" w:after="40" w:line="269" w:lineRule="auto"/>
        <w:ind w:left="340" w:hanging="340"/>
      </w:pPr>
      <w:r>
        <w:rPr>
          <w:rFonts w:ascii="Aptos" w:hAnsi="Aptos" w:cs="Aptos"/>
          <w:b w:val="0"/>
          <w:i w:val="0"/>
          <w:sz w:val="22"/>
        </w:rPr>
        <w:t xml:space="preserve">☐  </w:t>
      </w:r>
      <w:r>
        <w:rPr>
          <w:rFonts w:ascii="Aptos" w:hAnsi="Aptos" w:cs="Aptos"/>
          <w:b/>
          <w:i w:val="0"/>
          <w:color w:val="111111"/>
          <w:sz w:val="21"/>
        </w:rPr>
        <w:t xml:space="preserve">8–12 weeks pre-event  [CODE] — </w:t>
      </w:r>
      <w:r>
        <w:rPr>
          <w:rFonts w:ascii="Aptos" w:hAnsi="Aptos" w:cs="Aptos"/>
          <w:b w:val="0"/>
          <w:i w:val="0"/>
          <w:sz w:val="21"/>
        </w:rPr>
        <w:t>Stand up the hub, schema, sitemap, bot policy and speaker/session scaffolding; verify Search Console + Bing; seed llms.txt.</w:t>
      </w:r>
    </w:p>
    <w:p>
      <w:pPr>
        <w:spacing w:before="60" w:after="40" w:line="269" w:lineRule="auto"/>
        <w:ind w:left="340" w:hanging="340"/>
      </w:pPr>
      <w:r>
        <w:rPr>
          <w:rFonts w:ascii="Aptos" w:hAnsi="Aptos" w:cs="Aptos"/>
          <w:b w:val="0"/>
          <w:i w:val="0"/>
          <w:sz w:val="22"/>
        </w:rPr>
        <w:t xml:space="preserve">☐  </w:t>
      </w:r>
      <w:r>
        <w:rPr>
          <w:rFonts w:ascii="Aptos" w:hAnsi="Aptos" w:cs="Aptos"/>
          <w:b/>
          <w:i w:val="0"/>
          <w:color w:val="111111"/>
          <w:sz w:val="21"/>
        </w:rPr>
        <w:t xml:space="preserve">Pre-event  [JOINT] — </w:t>
      </w:r>
      <w:r>
        <w:rPr>
          <w:rFonts w:ascii="Aptos" w:hAnsi="Aptos" w:cs="Aptos"/>
          <w:b w:val="0"/>
          <w:i w:val="0"/>
          <w:sz w:val="21"/>
        </w:rPr>
        <w:t>Secure the official-domain backlink; create Wikidata entities; line up distribution channels.</w:t>
      </w:r>
    </w:p>
    <w:p>
      <w:pPr>
        <w:spacing w:before="60" w:after="40" w:line="269" w:lineRule="auto"/>
        <w:ind w:left="340" w:hanging="340"/>
      </w:pPr>
      <w:r>
        <w:rPr>
          <w:rFonts w:ascii="Aptos" w:hAnsi="Aptos" w:cs="Aptos"/>
          <w:b w:val="0"/>
          <w:i w:val="0"/>
          <w:sz w:val="22"/>
        </w:rPr>
        <w:t xml:space="preserve">☐  </w:t>
      </w:r>
      <w:r>
        <w:rPr>
          <w:rFonts w:ascii="Aptos" w:hAnsi="Aptos" w:cs="Aptos"/>
          <w:b/>
          <w:i w:val="0"/>
          <w:color w:val="111111"/>
          <w:sz w:val="21"/>
        </w:rPr>
        <w:t xml:space="preserve">During event  [CODE]+[JOINT] — </w:t>
      </w:r>
      <w:r>
        <w:rPr>
          <w:rFonts w:ascii="Aptos" w:hAnsi="Aptos" w:cs="Aptos"/>
          <w:b w:val="0"/>
          <w:i w:val="0"/>
          <w:sz w:val="21"/>
        </w:rPr>
        <w:t>Publish canonical records live; speakers and partners share their pages; capture recordings.</w:t>
      </w:r>
    </w:p>
    <w:p>
      <w:pPr>
        <w:spacing w:before="60" w:after="40" w:line="269" w:lineRule="auto"/>
        <w:ind w:left="340" w:hanging="340"/>
      </w:pPr>
      <w:r>
        <w:rPr>
          <w:rFonts w:ascii="Aptos" w:hAnsi="Aptos" w:cs="Aptos"/>
          <w:b w:val="0"/>
          <w:i w:val="0"/>
          <w:sz w:val="22"/>
        </w:rPr>
        <w:t xml:space="preserve">☐  </w:t>
      </w:r>
      <w:r>
        <w:rPr>
          <w:rFonts w:ascii="Aptos" w:hAnsi="Aptos" w:cs="Aptos"/>
          <w:b/>
          <w:i w:val="0"/>
          <w:color w:val="111111"/>
          <w:sz w:val="21"/>
        </w:rPr>
        <w:t xml:space="preserve">0–2 weeks post-event  [CODE] — </w:t>
      </w:r>
      <w:r>
        <w:rPr>
          <w:rFonts w:ascii="Aptos" w:hAnsi="Aptos" w:cs="Aptos"/>
          <w:b w:val="0"/>
          <w:i w:val="0"/>
          <w:sz w:val="21"/>
        </w:rPr>
        <w:t>Land verified transcripts, quotes and data (become the fullest source); submit deep URLs for indexing.</w:t>
      </w:r>
    </w:p>
    <w:p>
      <w:pPr>
        <w:spacing w:before="60" w:after="40" w:line="269" w:lineRule="auto"/>
        <w:ind w:left="340" w:hanging="340"/>
      </w:pPr>
      <w:r>
        <w:rPr>
          <w:rFonts w:ascii="Aptos" w:hAnsi="Aptos" w:cs="Aptos"/>
          <w:b w:val="0"/>
          <w:i w:val="0"/>
          <w:sz w:val="22"/>
        </w:rPr>
        <w:t xml:space="preserve">☐  </w:t>
      </w:r>
      <w:r>
        <w:rPr>
          <w:rFonts w:ascii="Aptos" w:hAnsi="Aptos" w:cs="Aptos"/>
          <w:b/>
          <w:i w:val="0"/>
          <w:color w:val="111111"/>
          <w:sz w:val="21"/>
        </w:rPr>
        <w:t xml:space="preserve">Monthly  [CODE] — </w:t>
      </w:r>
      <w:r>
        <w:rPr>
          <w:rFonts w:ascii="Aptos" w:hAnsi="Aptos" w:cs="Aptos"/>
          <w:b w:val="0"/>
          <w:i w:val="0"/>
          <w:sz w:val="21"/>
        </w:rPr>
        <w:t>Run the six-engine citation audit + indexation check; report the green/grey grid; refresh records on substantive change.</w:t>
      </w:r>
    </w:p>
    <w:p>
      <w:pPr>
        <w:pBdr>
          <w:bottom w:val="single" w:sz="12" w:space="6" w:color="111111"/>
        </w:pBdr>
        <w:spacing w:before="320" w:after="40" w:line="269" w:lineRule="auto"/>
      </w:pPr>
      <w:r>
        <w:rPr>
          <w:rFonts w:ascii="Aptos" w:hAnsi="Aptos" w:cs="Aptos"/>
          <w:b/>
          <w:i w:val="0"/>
          <w:color w:val="6B6B6B"/>
          <w:sz w:val="26"/>
        </w:rPr>
        <w:t xml:space="preserve">E   </w:t>
      </w:r>
      <w:r>
        <w:rPr>
          <w:rFonts w:ascii="Aptos" w:hAnsi="Aptos" w:cs="Aptos"/>
          <w:b/>
          <w:i w:val="0"/>
          <w:color w:val="111111"/>
          <w:sz w:val="28"/>
        </w:rPr>
        <w:t>Measurement — proving it worked</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A fixed set of head queries per event (the who, the when/where, the what-was-said questions real users ask).</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Each query checked across all six engines monthly; record cited true/false with the verifiable source URL the engine returned.</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Never mark a citation without a real source URL — measurement integrity is the product; a fabricated tick destroys the report’s credibility.</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Separate “indexed” from “cited” in reporting (different stages, different fixes).</w:t>
      </w:r>
    </w:p>
    <w:p>
      <w:pPr>
        <w:spacing w:before="0" w:after="60" w:line="269" w:lineRule="auto"/>
        <w:ind w:left="340" w:hanging="340"/>
      </w:pPr>
      <w:r>
        <w:rPr>
          <w:rFonts w:ascii="Aptos" w:hAnsi="Aptos" w:cs="Aptos"/>
          <w:b w:val="0"/>
          <w:i w:val="0"/>
          <w:sz w:val="22"/>
        </w:rPr>
        <w:t xml:space="preserve">☐  </w:t>
      </w:r>
      <w:r>
        <w:rPr>
          <w:rFonts w:ascii="Aptos" w:hAnsi="Aptos" w:cs="Aptos"/>
          <w:b w:val="0"/>
          <w:i w:val="0"/>
          <w:sz w:val="21"/>
        </w:rPr>
        <w:t>Publish a dated citation report so progress is visible and accountable.</w:t>
      </w:r>
    </w:p>
    <w:p>
      <w:pPr>
        <w:pBdr>
          <w:bottom w:val="single" w:sz="6" w:space="6" w:color="D8D2C4"/>
        </w:pBdr>
        <w:spacing w:before="360" w:after="0" w:line="269" w:lineRule="auto"/>
      </w:pPr>
    </w:p>
    <w:p>
      <w:pPr>
        <w:spacing w:before="120" w:after="0" w:line="269" w:lineRule="auto"/>
      </w:pPr>
      <w:r>
        <w:rPr>
          <w:rFonts w:ascii="Aptos" w:hAnsi="Aptos" w:cs="Aptos"/>
          <w:b/>
          <w:i w:val="0"/>
          <w:color w:val="111111"/>
          <w:sz w:val="20"/>
        </w:rPr>
        <w:t>Maxifi Digital</w:t>
      </w:r>
      <w:r>
        <w:rPr>
          <w:rFonts w:ascii="Aptos" w:hAnsi="Aptos" w:cs="Aptos"/>
          <w:b w:val="0"/>
          <w:i w:val="0"/>
          <w:color w:val="6B6B6B"/>
          <w:sz w:val="18"/>
        </w:rPr>
        <w:t xml:space="preserve">  —  Answer Engine Optimisation.  We build the systems that make expert organisations the answer AI gives.   hello@maxifidigital.com  ·  maxifidigital.com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s="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