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00" w:lineRule="auto"/>
        <w:jc w:val="center"/>
      </w:pPr>
      <w:r>
        <w:rPr>
          <w:rFonts w:ascii="Times New Roman" w:hAnsi="Times New Roman" w:eastAsia="黑体"/>
          <w:b/>
          <w:sz w:val="36"/>
        </w:rPr>
        <w:t>利港智慧脱硫系统研究与分析</w:t>
      </w:r>
    </w:p>
    <w:p>
      <w:pPr>
        <w:spacing w:before="0" w:after="60" w:line="300" w:lineRule="auto"/>
        <w:jc w:val="center"/>
      </w:pPr>
      <w:r>
        <w:rPr>
          <w:rFonts w:ascii="Times New Roman" w:hAnsi="Times New Roman" w:eastAsia="楷体"/>
          <w:b w:val="0"/>
          <w:sz w:val="28"/>
        </w:rPr>
        <w:t>董祥晖¹，任政达²</w:t>
      </w:r>
    </w:p>
    <w:p>
      <w:pPr>
        <w:spacing w:before="0" w:after="120" w:line="300" w:lineRule="auto"/>
        <w:jc w:val="center"/>
      </w:pPr>
      <w:r>
        <w:rPr>
          <w:rFonts w:ascii="Times New Roman" w:hAnsi="Times New Roman" w:eastAsia="宋体"/>
          <w:b w:val="0"/>
          <w:sz w:val="21"/>
        </w:rPr>
        <w:t>（浙江浙能科技环保集团股份有限公司，浙江省杭州市 310000）</w:t>
      </w:r>
    </w:p>
    <w:p>
      <w:pPr>
        <w:spacing w:before="120" w:after="0" w:line="300" w:lineRule="auto"/>
        <w:ind w:firstLine="360"/>
        <w:jc w:val="both"/>
      </w:pPr>
      <w:r>
        <w:rPr>
          <w:rFonts w:ascii="Times New Roman" w:hAnsi="Times New Roman" w:eastAsia="宋体"/>
          <w:b w:val="0"/>
          <w:sz w:val="18"/>
        </w:rPr>
        <w:t>摘  要：</w:t>
      </w:r>
      <w:r>
        <w:rPr>
          <w:rFonts w:ascii="Times New Roman" w:hAnsi="Times New Roman" w:eastAsia="宋体"/>
          <w:b w:val="0"/>
          <w:sz w:val="18"/>
        </w:rPr>
        <w:t>随着国家"双碳"战略目标的深入推进和火电机组超低排放标准的日趋严格，燃煤电厂脱硫系统面临着环保指标闭环控制不完善、设备动态特性耦合加剧、协同控制策略不明确、系统能耗偏高等多重挑战。本文以江阴利港2×100万千瓦机组扩建项目脱硫EPC总承包工程为研究对象，系统分析了其智慧脱硫控制系统（iFGD）的技术架构、核心算法与实际应用效果。iFGD系统采用外挂式架构，通过标准的MODBUS协议与机组DCS系统实现安全可靠的双向通讯。系统核心采用广义预测控制（GPC）算法，基于受控自回归积分滑动平均（CARIMA）模型，通过Diophantine方程递推求解和滚动优化策略，有效克服了湿法脱硫过程中吸收塔浆液pH值大滞后、大惯性的控制难题。实际运行数据表明：在稳态负荷工况下，出口SO₂浓度可稳定控制在设定值±5 mg/Nm³以内；在AGC变负荷工况下控制精度同样满足±5 mg/Nm³的要求；系统自动投运率达到100%。本文还深入分析了iFGD系统的优势与不足，并从算法优化、系统集成、数据智能和硬件可靠性四个维度提出了具体的改良方向。</w:t>
      </w:r>
    </w:p>
    <w:p>
      <w:pPr>
        <w:spacing w:before="0" w:after="180" w:line="300" w:lineRule="auto"/>
        <w:ind w:firstLine="360"/>
        <w:jc w:val="both"/>
      </w:pPr>
      <w:r>
        <w:rPr>
          <w:rFonts w:ascii="Times New Roman" w:hAnsi="Times New Roman" w:eastAsia="宋体"/>
          <w:b w:val="0"/>
          <w:sz w:val="18"/>
        </w:rPr>
        <w:t>关键词：智慧脱硫；广义预测控制；iFGD；湿法脱硫；闭环控制；节能降耗</w:t>
      </w:r>
    </w:p>
    <w:p>
      <w:pPr>
        <w:sectPr>
          <w:pgSz w:w="11906" w:h="16838"/>
          <w:pgMar w:top="1440" w:right="1797" w:bottom="1440" w:left="1797" w:header="720" w:footer="720" w:gutter="0"/>
          <w:cols w:space="720"/>
          <w:docGrid w:linePitch="360"/>
        </w:sectPr>
      </w:pPr>
    </w:p>
    <w:p>
      <w:pPr>
        <w:spacing w:before="180" w:after="60" w:line="300" w:lineRule="auto"/>
        <w:jc w:val="left"/>
      </w:pPr>
      <w:r>
        <w:rPr>
          <w:rFonts w:ascii="Times New Roman" w:hAnsi="Times New Roman" w:eastAsia="黑体"/>
          <w:b/>
          <w:sz w:val="24"/>
        </w:rPr>
        <w:t>0  引言</w:t>
      </w:r>
    </w:p>
    <w:p>
      <w:pPr>
        <w:spacing w:before="60" w:after="40" w:line="300" w:lineRule="auto"/>
        <w:jc w:val="left"/>
      </w:pPr>
      <w:r>
        <w:rPr>
          <w:rFonts w:ascii="Times New Roman" w:hAnsi="Times New Roman" w:eastAsia="黑体"/>
          <w:b/>
          <w:sz w:val="21"/>
        </w:rPr>
        <w:t>0.1  研究背景</w:t>
      </w:r>
    </w:p>
    <w:p>
      <w:pPr>
        <w:spacing w:before="0" w:after="0" w:line="300" w:lineRule="auto"/>
        <w:ind w:firstLine="420"/>
        <w:jc w:val="both"/>
      </w:pPr>
      <w:r>
        <w:rPr>
          <w:rFonts w:ascii="Times New Roman" w:hAnsi="Times New Roman" w:eastAsia="宋体"/>
          <w:b w:val="0"/>
          <w:sz w:val="21"/>
        </w:rPr>
        <w:t>随着"碳达峰、碳中和"战略目标的持续推进，我国能源结构正在发生深刻变革。新能源占比不断提高，火电机组从传统的基荷运行逐步转向深度调峰运行模式，机组负荷变动频繁、变化幅度大，对环保设施的适应性和控制品质提出了更高要求。与此同时，国家环保排放标准日趋严格，超低排放改造已完成全面覆盖，火电企业面临着多重压力：既要确保环保指标稳定达标以避免经济处罚和社会形象损失，又要通过优化运行策略实现节能降耗以降低运营成本。</w:t>
      </w:r>
    </w:p>
    <w:p>
      <w:pPr>
        <w:spacing w:before="0" w:after="0" w:line="300" w:lineRule="auto"/>
        <w:ind w:firstLine="420"/>
        <w:jc w:val="both"/>
      </w:pPr>
      <w:r>
        <w:rPr>
          <w:rFonts w:ascii="Times New Roman" w:hAnsi="Times New Roman" w:eastAsia="宋体"/>
          <w:b w:val="0"/>
          <w:sz w:val="21"/>
        </w:rPr>
        <w:t>脱硫系统作为火电机组环保设施的核心环节，其运行水平直接关系到企业的环保达标和经营效益。然而，当前国内大量火电机组脱硫系统存在以下共性问题：第一，环保排放指标闭环控制逻辑不完善，出口SO₂浓度控制仍依赖运行人员手动调节，控制品质波动大；第二，脱硫系统内部浆液循环泵、供浆调节阀、氧化风机等多设备间的动态特性耦合加剧，导致协同控制策略不明确，难以实现全局最优；第三，脱硫过程连续调节能力不足，在负荷和煤质快速变化时容易导致排放超标；第四，由于控制手段落后，运行人员为保证环保达标不得不采用保守策略，导致脱硫系统能耗普遍偏高，存在巨大的节能降耗空间。</w:t>
      </w:r>
    </w:p>
    <w:p>
      <w:pPr>
        <w:spacing w:before="0" w:after="0" w:line="300" w:lineRule="auto"/>
        <w:ind w:firstLine="420"/>
        <w:jc w:val="both"/>
      </w:pPr>
      <w:r>
        <w:rPr>
          <w:rFonts w:ascii="Times New Roman" w:hAnsi="Times New Roman" w:eastAsia="宋体"/>
          <w:b w:val="0"/>
          <w:sz w:val="21"/>
        </w:rPr>
        <w:t>在上述背景下，智慧脱硫技术应运而生。江阴利港2×100万千瓦机组扩建项目所采用的iFGD（Intelligent Flue Gas Desulfurization）智慧脱硫控制系统，正是这一技术方向的典型代表。</w:t>
      </w:r>
    </w:p>
    <w:p>
      <w:pPr>
        <w:spacing w:before="60" w:after="40" w:line="300" w:lineRule="auto"/>
        <w:jc w:val="left"/>
      </w:pPr>
      <w:r>
        <w:rPr>
          <w:rFonts w:ascii="Times New Roman" w:hAnsi="Times New Roman" w:eastAsia="黑体"/>
          <w:b/>
          <w:sz w:val="21"/>
        </w:rPr>
        <w:t>0.2  研究目的与意义</w:t>
      </w:r>
    </w:p>
    <w:p>
      <w:pPr>
        <w:spacing w:before="0" w:after="0" w:line="300" w:lineRule="auto"/>
        <w:ind w:firstLine="420"/>
        <w:jc w:val="both"/>
      </w:pPr>
      <w:r>
        <w:rPr>
          <w:rFonts w:ascii="Times New Roman" w:hAnsi="Times New Roman" w:eastAsia="宋体"/>
          <w:b w:val="0"/>
          <w:sz w:val="21"/>
        </w:rPr>
        <w:t>本文以江阴利港电厂#9、#10机组智慧脱硫控制系统项目为研究对象，系统梳理iFGD系统的技术架构、核心算法和实现方案，基于实际运行数据评估控制品质与综合效益，分析技术优势与不足，并提出改良方向。本研究旨在为火电行业脱硫系统的智能化改造提供可复制、可推广的技术参考，助力"双碳"目标实现。</w:t>
      </w:r>
    </w:p>
    <w:p>
      <w:pPr>
        <w:spacing w:before="60" w:after="40" w:line="300" w:lineRule="auto"/>
        <w:jc w:val="left"/>
      </w:pPr>
      <w:r>
        <w:rPr>
          <w:rFonts w:ascii="Times New Roman" w:hAnsi="Times New Roman" w:eastAsia="黑体"/>
          <w:b/>
          <w:sz w:val="21"/>
        </w:rPr>
        <w:t>0.3  国内外研究现状</w:t>
      </w:r>
    </w:p>
    <w:p>
      <w:pPr>
        <w:spacing w:before="0" w:after="0" w:line="300" w:lineRule="auto"/>
        <w:ind w:firstLine="420"/>
        <w:jc w:val="both"/>
      </w:pPr>
      <w:r>
        <w:rPr>
          <w:rFonts w:ascii="Times New Roman" w:hAnsi="Times New Roman" w:eastAsia="宋体"/>
          <w:b w:val="0"/>
          <w:sz w:val="21"/>
        </w:rPr>
        <w:t>传统的石灰石-石膏湿法脱硫过程具有大滞后、大惯性和非线性时变特性，常规PID控制器难以在全工况范围内获得满意的控制品质。自Clarke等人于1987年提出广义预测控制（GPC）理论以来[4-5]，该算法在工业过程控制领域得到广泛应用，其多步预测、滚动优化和反馈校正的特征特别适合处理大时滞、慢动态过程。在国内，席裕庚[9]、诸静[10]等学者在预测控制领域做出了重要贡献。上海鉴智软件技术有限公司率先将GPC算法应用于火电机组脱硫控制，开发了iFGD智慧脱硫控制系统，在江阴利港电厂成功投运。然而，现有文献对智慧脱硫系统的系统性总结仍然较少，本文正针对这一缺口展开工作。</w:t>
      </w:r>
    </w:p>
    <w:p>
      <w:pPr>
        <w:spacing w:before="60" w:after="40" w:line="300" w:lineRule="auto"/>
        <w:jc w:val="left"/>
      </w:pPr>
      <w:r>
        <w:rPr>
          <w:rFonts w:ascii="Times New Roman" w:hAnsi="Times New Roman" w:eastAsia="黑体"/>
          <w:b/>
          <w:sz w:val="21"/>
        </w:rPr>
        <w:t>0.4  论文结构安排</w:t>
      </w:r>
    </w:p>
    <w:p>
      <w:pPr>
        <w:spacing w:before="0" w:after="0" w:line="300" w:lineRule="auto"/>
        <w:ind w:firstLine="420"/>
        <w:jc w:val="both"/>
      </w:pPr>
      <w:r>
        <w:rPr>
          <w:rFonts w:ascii="Times New Roman" w:hAnsi="Times New Roman" w:eastAsia="宋体"/>
          <w:b w:val="0"/>
          <w:sz w:val="21"/>
        </w:rPr>
        <w:t>本文共分五章：本章为引言；第1章介绍项目概况与脱硫系统现状；第2章分析iFGD系统技术架构与核心算法；第3章基于运行数据评价实施效果；第4章总结技术优势、指出不足并提出改良方向；第5章给出结论与展望。</w:t>
      </w:r>
    </w:p>
    <w:p>
      <w:pPr>
        <w:spacing w:before="180" w:after="60" w:line="300" w:lineRule="auto"/>
        <w:jc w:val="left"/>
      </w:pPr>
      <w:r>
        <w:rPr>
          <w:rFonts w:ascii="Times New Roman" w:hAnsi="Times New Roman" w:eastAsia="黑体"/>
          <w:b/>
          <w:sz w:val="24"/>
        </w:rPr>
        <w:t>1  项目概况与脱硫系统现状分析</w:t>
      </w:r>
    </w:p>
    <w:p>
      <w:pPr>
        <w:spacing w:before="60" w:after="40" w:line="300" w:lineRule="auto"/>
        <w:jc w:val="left"/>
      </w:pPr>
      <w:r>
        <w:rPr>
          <w:rFonts w:ascii="Times New Roman" w:hAnsi="Times New Roman" w:eastAsia="黑体"/>
          <w:b/>
          <w:sz w:val="21"/>
        </w:rPr>
        <w:t>1.1  江阴利港电厂项目概况</w:t>
      </w:r>
    </w:p>
    <w:p>
      <w:pPr>
        <w:spacing w:before="0" w:after="0" w:line="300" w:lineRule="auto"/>
        <w:ind w:firstLine="420"/>
        <w:jc w:val="both"/>
      </w:pPr>
      <w:r>
        <w:rPr>
          <w:rFonts w:ascii="Times New Roman" w:hAnsi="Times New Roman" w:eastAsia="宋体"/>
          <w:b w:val="0"/>
          <w:sz w:val="21"/>
        </w:rPr>
        <w:t>江阴利港电厂2×100万千瓦机组扩建项目是大型火力发电建设工程，建设两台百万千瓦级超超临界燃煤发电机组（编号#9、#10）。根据国家环保要求，项目同步配套建设了高效烟气脱硫设施，采用石灰石-石膏湿法烟气脱硫（Wet Flue Gas Desulfurization, WFGD）工艺。</w:t>
      </w:r>
    </w:p>
    <w:p>
      <w:pPr>
        <w:spacing w:before="0" w:after="0" w:line="300" w:lineRule="auto"/>
        <w:ind w:firstLine="420"/>
        <w:jc w:val="both"/>
      </w:pPr>
      <w:r>
        <w:rPr>
          <w:rFonts w:ascii="Times New Roman" w:hAnsi="Times New Roman" w:eastAsia="宋体"/>
          <w:b w:val="0"/>
          <w:sz w:val="21"/>
        </w:rPr>
        <w:t>该脱硫系统的基本配置为：1炉1塔方案，每台机组脱硫系统配置5台浆液循环泵，设计工况下4用1备，校核工况下5台全部投用；配置5台高速离心式氧化风机，出口母管连通，设计工况下2用3备，校核工况下3用2备。每台机组脱硫氧化风管设有流量测试和调节阀，可对氧化风量进行独立调节控制。</w:t>
      </w:r>
    </w:p>
    <w:p>
      <w:pPr>
        <w:spacing w:before="0" w:after="0" w:line="300" w:lineRule="auto"/>
        <w:ind w:firstLine="420"/>
        <w:jc w:val="both"/>
      </w:pPr>
      <w:r>
        <w:rPr>
          <w:rFonts w:ascii="Times New Roman" w:hAnsi="Times New Roman" w:eastAsia="宋体"/>
          <w:b w:val="0"/>
          <w:sz w:val="21"/>
        </w:rPr>
        <w:t>智慧脱硫控制系统项目由上海鉴智软件技术有限公司承担，包括#9、#10机组"智慧脱硫控制系统"的研发、设计、安装、调试及验收等全部工作。项目于2026年初完成调试并交付运行投运，目前已实现烟囱净烟气出口SO₂浓度的闭环控制、浆液循环泵的节能指导以及氧化风量的自动优化控制。</w:t>
      </w:r>
    </w:p>
    <w:p>
      <w:pPr>
        <w:spacing w:before="60" w:after="40" w:line="300" w:lineRule="auto"/>
        <w:jc w:val="left"/>
      </w:pPr>
      <w:r>
        <w:rPr>
          <w:rFonts w:ascii="Times New Roman" w:hAnsi="Times New Roman" w:eastAsia="黑体"/>
          <w:b/>
          <w:sz w:val="21"/>
        </w:rPr>
        <w:t>1.2  传统脱硫控制系统存在的问题</w:t>
      </w:r>
    </w:p>
    <w:p>
      <w:pPr>
        <w:spacing w:before="0" w:after="0" w:line="300" w:lineRule="auto"/>
        <w:ind w:firstLine="420"/>
        <w:jc w:val="both"/>
      </w:pPr>
      <w:r>
        <w:rPr>
          <w:rFonts w:ascii="Times New Roman" w:hAnsi="Times New Roman" w:eastAsia="宋体"/>
          <w:b w:val="0"/>
          <w:sz w:val="21"/>
        </w:rPr>
        <w:t>在iFGD系统投运前，利港电厂#9、#10机组脱硫系统存在以下问题：（1）控制方式落后，采用人工操作模式，控制品质依赖运行人员经验；（2）出口SO₂浓度未实现闭环控制，仍停留在开环手动调节层面；（3）过度保守运行导致能耗偏高，运行人员为保达标将SO₂浓度控制在远低于排放限值的水平，造成石灰石和电力的浪费；（4）超标风险不容忽视，负荷快速变化时手动控制响应滞后，易致排放超标；（5）运行人员需持续监控DCS画面并频繁操作，劳动强度大；（6）氧化风控制粗放，过量供风不仅增加电耗，还会导致浆液溢流等问题。</w:t>
      </w:r>
    </w:p>
    <w:p>
      <w:pPr>
        <w:spacing w:before="60" w:after="40" w:line="300" w:lineRule="auto"/>
        <w:jc w:val="left"/>
      </w:pPr>
      <w:r>
        <w:rPr>
          <w:rFonts w:ascii="Times New Roman" w:hAnsi="Times New Roman" w:eastAsia="黑体"/>
          <w:b/>
          <w:sz w:val="21"/>
        </w:rPr>
        <w:t>1.3  智慧脱硫系统建设目标</w:t>
      </w:r>
    </w:p>
    <w:p>
      <w:pPr>
        <w:spacing w:before="0" w:after="0" w:line="300" w:lineRule="auto"/>
        <w:ind w:firstLine="420"/>
        <w:jc w:val="both"/>
      </w:pPr>
      <w:r>
        <w:rPr>
          <w:rFonts w:ascii="Times New Roman" w:hAnsi="Times New Roman" w:eastAsia="宋体"/>
          <w:b w:val="0"/>
          <w:sz w:val="21"/>
        </w:rPr>
        <w:t>针对上述问题，江阴利港电厂启动了智慧脱硫控制系统建设项目，设定了明确的热态验收目标：（1）实现脱硫系统吸收塔pH值、出口SO₂浓度的设定值可调闭环控制，以及氧化风量的合理控制，使运行人员能够像操作"自动驾驶"一样方便地管理脱硫系统；（2）在智慧脱硫优化系统运行期间，自动投入率不低于99.9%，确保系统能够长期连续稳定运行；（3）服务器负荷率不大于40%，保证控制系统本身不会对现有DCS系统造成额外负担；（4）在智慧脱硫优化系统运行期间，脱硫出口SO₂波动范围不超过±5 mg/Nm³，吸收塔pH值波动范围不超过±0.2。</w:t>
      </w:r>
    </w:p>
    <w:p>
      <w:pPr>
        <w:spacing w:before="180" w:after="60" w:line="300" w:lineRule="auto"/>
        <w:jc w:val="left"/>
      </w:pPr>
      <w:r>
        <w:rPr>
          <w:rFonts w:ascii="Times New Roman" w:hAnsi="Times New Roman" w:eastAsia="黑体"/>
          <w:b/>
          <w:sz w:val="24"/>
        </w:rPr>
        <w:t>2  iFGD智慧脱硫系统技术架构与核心算法</w:t>
      </w:r>
    </w:p>
    <w:p>
      <w:pPr>
        <w:spacing w:before="60" w:after="40" w:line="300" w:lineRule="auto"/>
        <w:jc w:val="left"/>
      </w:pPr>
      <w:r>
        <w:rPr>
          <w:rFonts w:ascii="Times New Roman" w:hAnsi="Times New Roman" w:eastAsia="黑体"/>
          <w:b/>
          <w:sz w:val="21"/>
        </w:rPr>
        <w:t>2.1  系统总体架构</w:t>
      </w:r>
    </w:p>
    <w:p>
      <w:pPr>
        <w:spacing w:before="0" w:after="0" w:line="300" w:lineRule="auto"/>
        <w:ind w:firstLine="420"/>
        <w:jc w:val="both"/>
      </w:pPr>
      <w:r>
        <w:rPr>
          <w:rFonts w:ascii="Times New Roman" w:hAnsi="Times New Roman" w:eastAsia="宋体"/>
          <w:b w:val="0"/>
          <w:sz w:val="21"/>
        </w:rPr>
        <w:t>iFGD系统采用外挂式架构设计，这一设计理念的核心原则是：在任何情况下都不影响现有DCS系统的安全性和稳定性。系统通过标准的MODBUS协议与电厂DCS系统实现双向通讯，既可以从DCS采集所需的过程变量实时数据，也可以将优化控制指令安全地传输给DCS执行。</w:t>
      </w:r>
    </w:p>
    <w:p>
      <w:pPr>
        <w:spacing w:before="0" w:after="0" w:line="300" w:lineRule="auto"/>
        <w:ind w:firstLine="420"/>
        <w:jc w:val="both"/>
      </w:pPr>
      <w:r>
        <w:rPr>
          <w:rFonts w:ascii="Times New Roman" w:hAnsi="Times New Roman" w:eastAsia="宋体"/>
          <w:b w:val="0"/>
          <w:sz w:val="21"/>
        </w:rPr>
        <w:t>iFGD系统由三大核心模块组成：（1）数据采集与通讯模块。该模块负责通过MODBUS/OPC协议从DCS系统实时采集脱硫过程的关键参数，包括入口/出口SO₂浓度、烟气量、浆液循环泵电流、供浆流量、吸收塔pH值、机组负荷等。同时，该模块将控制器计算出的最优操作值进行严格的数据校验和平滑处理后，通过MODBUS协议写入DCS系统执行。（2）智能控制算法模块。这是iFGD系统的核心，集成了广义预测控制（GPC）算法、多变量动态关联模型、浆液循环泵组合优化算法和氧化风量智能寻优算法。该模块通过对脱硫FGD过程进行实时动态建模，建立多变量动态关联模型，并基于该模型进行每时每刻的优化控制，保证脱硫控制品质。（3）可视化监控模块。系统提供了丰富的可视化和组态功能，包括运行参数实时显示、实时/历史趋势曲线、控制性能在线评估、经济指标实时统计、时均值统计分析等界面。系统还基于influxDB数据库实现了历史数据存储统计与能耗自动建模功能。</w:t>
      </w:r>
    </w:p>
    <w:p>
      <w:pPr>
        <w:spacing w:before="60" w:after="40" w:line="300" w:lineRule="auto"/>
        <w:jc w:val="left"/>
      </w:pPr>
      <w:r>
        <w:rPr>
          <w:rFonts w:ascii="Times New Roman" w:hAnsi="Times New Roman" w:eastAsia="黑体"/>
          <w:b/>
          <w:sz w:val="21"/>
        </w:rPr>
        <w:t>2.2  广义预测控制（GPC）算法</w:t>
      </w:r>
    </w:p>
    <w:p>
      <w:pPr>
        <w:spacing w:before="0" w:after="0" w:line="300" w:lineRule="auto"/>
        <w:ind w:firstLine="420"/>
        <w:jc w:val="both"/>
      </w:pPr>
      <w:r>
        <w:rPr>
          <w:rFonts w:ascii="Times New Roman" w:hAnsi="Times New Roman" w:eastAsia="宋体"/>
          <w:b w:val="0"/>
          <w:sz w:val="21"/>
        </w:rPr>
        <w:t>广义预测控制（GPC）是iFGD系统的核心算法，用于解决脱硫吸收塔pH值这一关键参数的控制问题。湿法脱硫过程中，吸收塔浆液pH值对脱硫效率有决定性影响，但pH值对供浆流量的响应具有明显的大滞后、大惯性和慢动态特性，传统的PID控制器很难获得理想的控制效果。</w:t>
      </w:r>
    </w:p>
    <w:p>
      <w:pPr>
        <w:spacing w:before="0" w:after="0" w:line="300" w:lineRule="auto"/>
        <w:ind w:firstLine="420"/>
        <w:jc w:val="both"/>
      </w:pPr>
      <w:r>
        <w:rPr>
          <w:rFonts w:ascii="Times New Roman" w:hAnsi="Times New Roman" w:eastAsia="宋体"/>
          <w:b w:val="0"/>
          <w:sz w:val="21"/>
        </w:rPr>
        <w:t>GPC算法采用受控自回归积分滑动平均（CARIMA）模型来描述脱硫过程的动态特性。该模型可以表示为：A(q⁻¹)yₜ = B(q⁻¹)uₜ₋d + ξₜ/Δ，其中yₜ为系统输出（如pH值或SO₂浓度），uₜ为控制量（如供浆阀门开度），ξₜ为随机噪声，Δ为差分算子，d为系统纯时延步数。</w:t>
      </w:r>
    </w:p>
    <w:p>
      <w:pPr>
        <w:spacing w:before="0" w:after="0" w:line="300" w:lineRule="auto"/>
        <w:ind w:firstLine="420"/>
        <w:jc w:val="both"/>
      </w:pPr>
      <w:r>
        <w:rPr>
          <w:rFonts w:ascii="Times New Roman" w:hAnsi="Times New Roman" w:eastAsia="宋体"/>
          <w:b w:val="0"/>
          <w:sz w:val="21"/>
        </w:rPr>
        <w:t>GPC算法的核心机制包括：多步预测（基于CARIMA模型和Diophantine方程递推预测未来N个时刻的系统输出）、滚动优化（定义包含预测偏差和控制增量的目标函数，采用柔化跟踪轨迹技术避免控制量剧烈波动）、反馈校正（利用实时反馈补偿模型不确定性和外部扰动）。GPC算法计算快速、鲁棒性强，此外系统还设计了基于pH值、烟气温度等因素的模型在线修正功能，进一步提升了控制品质。</w:t>
      </w:r>
    </w:p>
    <w:p>
      <w:pPr>
        <w:spacing w:before="60" w:after="40" w:line="300" w:lineRule="auto"/>
        <w:jc w:val="left"/>
      </w:pPr>
      <w:r>
        <w:rPr>
          <w:rFonts w:ascii="Times New Roman" w:hAnsi="Times New Roman" w:eastAsia="黑体"/>
          <w:b/>
          <w:sz w:val="21"/>
        </w:rPr>
        <w:t>2.3  多变量协同优化控制策略</w:t>
      </w:r>
    </w:p>
    <w:p>
      <w:pPr>
        <w:spacing w:before="0" w:after="0" w:line="300" w:lineRule="auto"/>
        <w:ind w:firstLine="420"/>
        <w:jc w:val="both"/>
      </w:pPr>
      <w:r>
        <w:rPr>
          <w:rFonts w:ascii="Times New Roman" w:hAnsi="Times New Roman" w:eastAsia="宋体"/>
          <w:b w:val="0"/>
          <w:sz w:val="21"/>
        </w:rPr>
        <w:t>湿法脱硫系统是一个典型的多变量耦合系统。iFGD系统基于物料平衡机理分析，建立SO₂排放与运行参数的动态控制模型，实现了以下协同优化功能：（1）供浆流量与pH值的协同控制，通过GPC算法实时优化供浆流量，减少石灰石消耗；（2）浆液循环泵组合优化，以能耗最优为目标计算最优泵组合方案；（3）氧化风量智能调节，建立以进口烟气量和脱硫效率为输入的优化模型，降低电耗并避免浆液溢流；（4）多目标动态寻优，建立机理与数据融合的能耗模型，实现运行方式的多目标优化。</w:t>
      </w:r>
    </w:p>
    <w:p>
      <w:pPr>
        <w:spacing w:before="60" w:after="40" w:line="300" w:lineRule="auto"/>
        <w:jc w:val="left"/>
      </w:pPr>
      <w:r>
        <w:rPr>
          <w:rFonts w:ascii="Times New Roman" w:hAnsi="Times New Roman" w:eastAsia="黑体"/>
          <w:b/>
          <w:sz w:val="21"/>
        </w:rPr>
        <w:t>2.4  时序多层控制架构</w:t>
      </w:r>
    </w:p>
    <w:p>
      <w:pPr>
        <w:spacing w:before="0" w:after="0" w:line="300" w:lineRule="auto"/>
        <w:ind w:firstLine="420"/>
        <w:jc w:val="both"/>
      </w:pPr>
      <w:r>
        <w:rPr>
          <w:rFonts w:ascii="Times New Roman" w:hAnsi="Times New Roman" w:eastAsia="宋体"/>
          <w:b w:val="0"/>
          <w:sz w:val="21"/>
        </w:rPr>
        <w:t>针对超低排放考核中"小时均值"这一关键指标，iFGD系统创新性地采用了时序多层控制架构：上层实时计算累积小时均值，动态评估超标风险并在必要时调整下层设定值；下层基于GPC算法追踪上层设定值，通过精确调节供浆流量实现实时值的精细控制。该架构突破了仅关注瞬时值的局限，将小时均值直接纳入控制目标体系，从源头上避免了超标风险。</w:t>
      </w:r>
    </w:p>
    <w:p>
      <w:pPr>
        <w:spacing w:before="60" w:after="40" w:line="300" w:lineRule="auto"/>
        <w:jc w:val="left"/>
      </w:pPr>
      <w:r>
        <w:rPr>
          <w:rFonts w:ascii="Times New Roman" w:hAnsi="Times New Roman" w:eastAsia="黑体"/>
          <w:b/>
          <w:sz w:val="21"/>
        </w:rPr>
        <w:t>2.5  三种运行控制模式</w:t>
      </w:r>
    </w:p>
    <w:p>
      <w:pPr>
        <w:spacing w:before="0" w:after="0" w:line="300" w:lineRule="auto"/>
        <w:ind w:firstLine="420"/>
        <w:jc w:val="both"/>
      </w:pPr>
      <w:r>
        <w:rPr>
          <w:rFonts w:ascii="Times New Roman" w:hAnsi="Times New Roman" w:eastAsia="宋体"/>
          <w:b w:val="0"/>
          <w:sz w:val="21"/>
        </w:rPr>
        <w:t>为适应不同的运行工况和需求场景，iFGD系统设计了三种控制模式，运行人员可根据实际情况灵活切换。SO₂模式（推荐默认模式）以净烟气SO₂浓度为控制目标，运行人员只需设置SO₂设定值，系统在设定的pH和供浆流量上下限范围内自动调整pH设定值和供浆量，适用于日常正常运行。pH模式以吸收塔pH值为控制目标，运行人员设置pH设定值，系统在供浆流量上下限范围内自动调整供浆量，适用于出口SO₂测量异常或调试/试验工况。流量模式以供浆流量为控制目标，运行人员设置流量设定值，系统自动调整供浆阀门开度，适用于调试或试验工况。三种控制模式的具体对比如表1所示。</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黑体"/>
                <w:b/>
                <w:sz w:val="18"/>
              </w:rPr>
              <w:t>控制模式</w:t>
            </w:r>
          </w:p>
        </w:tc>
        <w:tc>
          <w:tcPr>
            <w:tcW w:type="dxa" w:w="2078"/>
          </w:tcPr>
          <w:p>
            <w:pPr>
              <w:jc w:val="center"/>
            </w:pPr>
            <w:r/>
            <w:r>
              <w:rPr>
                <w:rFonts w:ascii="Times New Roman" w:hAnsi="Times New Roman" w:eastAsia="黑体"/>
                <w:b/>
                <w:sz w:val="18"/>
              </w:rPr>
              <w:t>控制目标</w:t>
            </w:r>
          </w:p>
        </w:tc>
        <w:tc>
          <w:tcPr>
            <w:tcW w:type="dxa" w:w="2078"/>
          </w:tcPr>
          <w:p>
            <w:pPr>
              <w:jc w:val="center"/>
            </w:pPr>
            <w:r/>
            <w:r>
              <w:rPr>
                <w:rFonts w:ascii="Times New Roman" w:hAnsi="Times New Roman" w:eastAsia="黑体"/>
                <w:b/>
                <w:sz w:val="18"/>
              </w:rPr>
              <w:t>工作原理</w:t>
            </w:r>
          </w:p>
        </w:tc>
        <w:tc>
          <w:tcPr>
            <w:tcW w:type="dxa" w:w="2078"/>
          </w:tcPr>
          <w:p>
            <w:pPr>
              <w:jc w:val="center"/>
            </w:pPr>
            <w:r/>
            <w:r>
              <w:rPr>
                <w:rFonts w:ascii="Times New Roman" w:hAnsi="Times New Roman" w:eastAsia="黑体"/>
                <w:b/>
                <w:sz w:val="18"/>
              </w:rPr>
              <w:t>适用场景</w:t>
            </w:r>
          </w:p>
        </w:tc>
      </w:tr>
      <w:tr>
        <w:tc>
          <w:tcPr>
            <w:tcW w:type="dxa" w:w="2078"/>
          </w:tcPr>
          <w:p>
            <w:pPr>
              <w:jc w:val="left"/>
            </w:pPr>
            <w:r/>
            <w:r>
              <w:rPr>
                <w:rFonts w:ascii="Times New Roman" w:hAnsi="Times New Roman" w:eastAsia="宋体"/>
                <w:b w:val="0"/>
                <w:sz w:val="18"/>
              </w:rPr>
              <w:t>SO₂模式</w:t>
              <w:br/>
              <w:t>（推荐默认）</w:t>
            </w:r>
          </w:p>
        </w:tc>
        <w:tc>
          <w:tcPr>
            <w:tcW w:type="dxa" w:w="2078"/>
          </w:tcPr>
          <w:p>
            <w:pPr>
              <w:jc w:val="left"/>
            </w:pPr>
            <w:r/>
            <w:r>
              <w:rPr>
                <w:rFonts w:ascii="Times New Roman" w:hAnsi="Times New Roman" w:eastAsia="宋体"/>
                <w:b w:val="0"/>
                <w:sz w:val="18"/>
              </w:rPr>
              <w:t>净烟气SO₂浓度</w:t>
            </w:r>
          </w:p>
        </w:tc>
        <w:tc>
          <w:tcPr>
            <w:tcW w:type="dxa" w:w="2078"/>
          </w:tcPr>
          <w:p>
            <w:pPr>
              <w:jc w:val="left"/>
            </w:pPr>
            <w:r/>
            <w:r>
              <w:rPr>
                <w:rFonts w:ascii="Times New Roman" w:hAnsi="Times New Roman" w:eastAsia="宋体"/>
                <w:b w:val="0"/>
                <w:sz w:val="18"/>
              </w:rPr>
              <w:t>设置SO₂设定值，系统自动调整pH设定值和供浆量</w:t>
            </w:r>
          </w:p>
        </w:tc>
        <w:tc>
          <w:tcPr>
            <w:tcW w:type="dxa" w:w="2078"/>
          </w:tcPr>
          <w:p>
            <w:pPr>
              <w:jc w:val="left"/>
            </w:pPr>
            <w:r/>
            <w:r>
              <w:rPr>
                <w:rFonts w:ascii="Times New Roman" w:hAnsi="Times New Roman" w:eastAsia="宋体"/>
                <w:b w:val="0"/>
                <w:sz w:val="18"/>
              </w:rPr>
              <w:t>日常正常运行</w:t>
            </w:r>
          </w:p>
        </w:tc>
      </w:tr>
      <w:tr>
        <w:tc>
          <w:tcPr>
            <w:tcW w:type="dxa" w:w="2078"/>
          </w:tcPr>
          <w:p>
            <w:pPr>
              <w:jc w:val="left"/>
            </w:pPr>
            <w:r/>
            <w:r>
              <w:rPr>
                <w:rFonts w:ascii="Times New Roman" w:hAnsi="Times New Roman" w:eastAsia="宋体"/>
                <w:b w:val="0"/>
                <w:sz w:val="18"/>
              </w:rPr>
              <w:t>pH模式</w:t>
            </w:r>
          </w:p>
        </w:tc>
        <w:tc>
          <w:tcPr>
            <w:tcW w:type="dxa" w:w="2078"/>
          </w:tcPr>
          <w:p>
            <w:pPr>
              <w:jc w:val="left"/>
            </w:pPr>
            <w:r/>
            <w:r>
              <w:rPr>
                <w:rFonts w:ascii="Times New Roman" w:hAnsi="Times New Roman" w:eastAsia="宋体"/>
                <w:b w:val="0"/>
                <w:sz w:val="18"/>
              </w:rPr>
              <w:t>吸收塔pH值</w:t>
            </w:r>
          </w:p>
        </w:tc>
        <w:tc>
          <w:tcPr>
            <w:tcW w:type="dxa" w:w="2078"/>
          </w:tcPr>
          <w:p>
            <w:pPr>
              <w:jc w:val="left"/>
            </w:pPr>
            <w:r/>
            <w:r>
              <w:rPr>
                <w:rFonts w:ascii="Times New Roman" w:hAnsi="Times New Roman" w:eastAsia="宋体"/>
                <w:b w:val="0"/>
                <w:sz w:val="18"/>
              </w:rPr>
              <w:t>设置pH设定值，系统自动调整供浆量</w:t>
            </w:r>
          </w:p>
        </w:tc>
        <w:tc>
          <w:tcPr>
            <w:tcW w:type="dxa" w:w="2078"/>
          </w:tcPr>
          <w:p>
            <w:pPr>
              <w:jc w:val="left"/>
            </w:pPr>
            <w:r/>
            <w:r>
              <w:rPr>
                <w:rFonts w:ascii="Times New Roman" w:hAnsi="Times New Roman" w:eastAsia="宋体"/>
                <w:b w:val="0"/>
                <w:sz w:val="18"/>
              </w:rPr>
              <w:t>出口SO₂测量异常或调试工况</w:t>
            </w:r>
          </w:p>
        </w:tc>
      </w:tr>
      <w:tr>
        <w:tc>
          <w:tcPr>
            <w:tcW w:type="dxa" w:w="2078"/>
          </w:tcPr>
          <w:p>
            <w:pPr>
              <w:jc w:val="left"/>
            </w:pPr>
            <w:r/>
            <w:r>
              <w:rPr>
                <w:rFonts w:ascii="Times New Roman" w:hAnsi="Times New Roman" w:eastAsia="宋体"/>
                <w:b w:val="0"/>
                <w:sz w:val="18"/>
              </w:rPr>
              <w:t>流量模式</w:t>
            </w:r>
          </w:p>
        </w:tc>
        <w:tc>
          <w:tcPr>
            <w:tcW w:type="dxa" w:w="2078"/>
          </w:tcPr>
          <w:p>
            <w:pPr>
              <w:jc w:val="left"/>
            </w:pPr>
            <w:r/>
            <w:r>
              <w:rPr>
                <w:rFonts w:ascii="Times New Roman" w:hAnsi="Times New Roman" w:eastAsia="宋体"/>
                <w:b w:val="0"/>
                <w:sz w:val="18"/>
              </w:rPr>
              <w:t>供浆流量</w:t>
            </w:r>
          </w:p>
        </w:tc>
        <w:tc>
          <w:tcPr>
            <w:tcW w:type="dxa" w:w="2078"/>
          </w:tcPr>
          <w:p>
            <w:pPr>
              <w:jc w:val="left"/>
            </w:pPr>
            <w:r/>
            <w:r>
              <w:rPr>
                <w:rFonts w:ascii="Times New Roman" w:hAnsi="Times New Roman" w:eastAsia="宋体"/>
                <w:b w:val="0"/>
                <w:sz w:val="18"/>
              </w:rPr>
              <w:t>设置流量设定值，系统自动调整供浆阀门开度</w:t>
            </w:r>
          </w:p>
        </w:tc>
        <w:tc>
          <w:tcPr>
            <w:tcW w:type="dxa" w:w="2078"/>
          </w:tcPr>
          <w:p>
            <w:pPr>
              <w:jc w:val="left"/>
            </w:pPr>
            <w:r/>
            <w:r>
              <w:rPr>
                <w:rFonts w:ascii="Times New Roman" w:hAnsi="Times New Roman" w:eastAsia="宋体"/>
                <w:b w:val="0"/>
                <w:sz w:val="18"/>
              </w:rPr>
              <w:t>调试或试验工况</w:t>
            </w:r>
          </w:p>
        </w:tc>
      </w:tr>
    </w:tbl>
    <w:p>
      <w:pPr>
        <w:spacing w:before="0" w:after="60" w:line="300" w:lineRule="auto"/>
        <w:jc w:val="center"/>
      </w:pPr>
      <w:r>
        <w:rPr>
          <w:rFonts w:ascii="Times New Roman" w:hAnsi="Times New Roman" w:eastAsia="宋体"/>
          <w:b w:val="0"/>
          <w:sz w:val="18"/>
        </w:rPr>
        <w:t>表1  三种运行控制模式对比</w:t>
      </w:r>
    </w:p>
    <w:p>
      <w:pPr>
        <w:spacing w:before="60" w:after="40" w:line="300" w:lineRule="auto"/>
        <w:jc w:val="left"/>
      </w:pPr>
      <w:r>
        <w:rPr>
          <w:rFonts w:ascii="Times New Roman" w:hAnsi="Times New Roman" w:eastAsia="黑体"/>
          <w:b/>
          <w:sz w:val="21"/>
        </w:rPr>
        <w:t>2.6  安全策略与系统可靠性设计</w:t>
      </w:r>
    </w:p>
    <w:p>
      <w:pPr>
        <w:spacing w:before="0" w:after="0" w:line="300" w:lineRule="auto"/>
        <w:ind w:firstLine="420"/>
        <w:jc w:val="both"/>
      </w:pPr>
      <w:r>
        <w:rPr>
          <w:rFonts w:ascii="Times New Roman" w:hAnsi="Times New Roman" w:eastAsia="宋体"/>
          <w:b w:val="0"/>
          <w:sz w:val="21"/>
        </w:rPr>
        <w:t>系统设计了多层次安全策略：心跳信号机制（异常时自动切除iFGD输出、无缝切换回原控制模式）、数据验证与保护（对输入输出数据进行严格校验和平滑处理）、限值保护（设定了供浆流量、pH值等安全限值）以及二次开发与组态功能（基于JSP语法的配置文件系统，支持非程序人员修改规则）。</w:t>
      </w:r>
    </w:p>
    <w:p>
      <w:pPr>
        <w:spacing w:before="180" w:after="60" w:line="300" w:lineRule="auto"/>
        <w:jc w:val="left"/>
      </w:pPr>
      <w:r>
        <w:rPr>
          <w:rFonts w:ascii="Times New Roman" w:hAnsi="Times New Roman" w:eastAsia="黑体"/>
          <w:b/>
          <w:sz w:val="24"/>
        </w:rPr>
        <w:t>3  项目实施效果分析</w:t>
      </w:r>
    </w:p>
    <w:p>
      <w:pPr>
        <w:spacing w:before="60" w:after="40" w:line="300" w:lineRule="auto"/>
        <w:jc w:val="left"/>
      </w:pPr>
      <w:r>
        <w:rPr>
          <w:rFonts w:ascii="Times New Roman" w:hAnsi="Times New Roman" w:eastAsia="黑体"/>
          <w:b/>
          <w:sz w:val="21"/>
        </w:rPr>
        <w:t>3.1  稳态与变负荷工况控制效果</w:t>
      </w:r>
    </w:p>
    <w:p>
      <w:pPr>
        <w:spacing w:before="0" w:after="0" w:line="300" w:lineRule="auto"/>
        <w:ind w:firstLine="420"/>
        <w:jc w:val="both"/>
      </w:pPr>
      <w:r>
        <w:rPr>
          <w:rFonts w:ascii="Times New Roman" w:hAnsi="Times New Roman" w:eastAsia="宋体"/>
          <w:b w:val="0"/>
          <w:sz w:val="21"/>
        </w:rPr>
        <w:t>在稳定负荷工况下，iFGD系统展现了优异的控制品质。以#9机组2026年3月6日运行为例：出口SO₂浓度设定值8 mg/Nm³，实际平均值8.2 mg/Nm³，标准方差仅3 mg/Nm³，波动幅度极小。</w:t>
      </w:r>
    </w:p>
    <w:p>
      <w:pPr>
        <w:spacing w:before="0" w:after="0" w:line="300" w:lineRule="auto"/>
        <w:ind w:firstLine="420"/>
        <w:jc w:val="both"/>
      </w:pPr>
      <w:r>
        <w:rPr>
          <w:rFonts w:ascii="Times New Roman" w:hAnsi="Times New Roman" w:eastAsia="宋体"/>
          <w:b w:val="0"/>
          <w:sz w:val="21"/>
        </w:rPr>
        <w:t>在AGC变负荷工况下，系统表现同样突出。2026年3月18日降负荷过程（1000MW→400MW）中，出口SO₂浓度稳定控制在设定值±5 mg/Nm³以内，设定值5 mg/Nm³，实际平均值4.3 mg/Nm³。2026年3月10日升负荷过程（310MW→810MW）中，设定值10 mg/Nm³，实际平均值11.2 mg/Nm³，同样满足±5 mg/Nm³的控制精度。设定值阶跃响应平稳，过渡时间约35-40分钟，超调量小于1 mg/Nm³。GPC算法的预测能力使其能够在扰动影响输出前进行补偿调节，有效克服了脱硫过程的大滞后特性。</w:t>
      </w:r>
    </w:p>
    <w:p>
      <w:pPr>
        <w:spacing w:before="60" w:after="40" w:line="300" w:lineRule="auto"/>
        <w:jc w:val="left"/>
      </w:pPr>
      <w:r>
        <w:rPr>
          <w:rFonts w:ascii="Times New Roman" w:hAnsi="Times New Roman" w:eastAsia="黑体"/>
          <w:b/>
          <w:sz w:val="21"/>
        </w:rPr>
        <w:t>3.2  系统投运率与可靠性</w:t>
      </w:r>
    </w:p>
    <w:p>
      <w:pPr>
        <w:spacing w:before="0" w:after="0" w:line="300" w:lineRule="auto"/>
        <w:ind w:firstLine="420"/>
        <w:jc w:val="both"/>
      </w:pPr>
      <w:r>
        <w:rPr>
          <w:rFonts w:ascii="Times New Roman" w:hAnsi="Times New Roman" w:eastAsia="宋体"/>
          <w:b w:val="0"/>
          <w:sz w:val="21"/>
        </w:rPr>
        <w:t>在2026年3月连续运行期间，#9、#10机组iFGD系统除去因pH计标定、CEMS标定等客观原因需暂时切回手动外，自动投运率达100%，远超项目设定的99.9%目标。服务器CPU负荷率低于40%，系统具有良好的计算效率。可视化监控界面实时显示控制回路运行信息，经济指标统计界面可计算石灰石消耗量、脱硫电耗和单位脱硫成本等关键参数，为运行管理提供了量化决策支持。</w:t>
      </w:r>
    </w:p>
    <w:p>
      <w:pPr>
        <w:spacing w:before="60" w:after="40" w:line="300" w:lineRule="auto"/>
        <w:jc w:val="left"/>
      </w:pPr>
      <w:r>
        <w:rPr>
          <w:rFonts w:ascii="Times New Roman" w:hAnsi="Times New Roman" w:eastAsia="黑体"/>
          <w:b/>
          <w:sz w:val="21"/>
        </w:rPr>
        <w:t>3.3  综合效益分析</w:t>
      </w:r>
    </w:p>
    <w:p>
      <w:pPr>
        <w:spacing w:before="0" w:after="0" w:line="300" w:lineRule="auto"/>
        <w:ind w:firstLine="420"/>
        <w:jc w:val="both"/>
      </w:pPr>
      <w:r>
        <w:rPr>
          <w:rFonts w:ascii="Times New Roman" w:hAnsi="Times New Roman" w:eastAsia="宋体"/>
          <w:b w:val="0"/>
          <w:sz w:val="21"/>
        </w:rPr>
        <w:t>iFGD系统的经济效益体现在：石灰石消耗量降低（GPC精确控制供浆流量避免过量投加）；脱硫系统电耗减少（循环泵组合优化和氧化风量智能调节）；环保超标风险消除（闭环控制避免排放超标，确保电价补贴全额获取）；运行维护成本降低。环保方面，系统确保了超低排放稳定达标，同时间接减少了石灰石开采和运输过程的碳排放。社会效益方面，运行人员劳动强度大幅降低，实现了"环保、节能、自动"的有机融合。</w:t>
      </w:r>
    </w:p>
    <w:p>
      <w:pPr>
        <w:spacing w:before="180" w:after="60" w:line="300" w:lineRule="auto"/>
        <w:jc w:val="left"/>
      </w:pPr>
      <w:r>
        <w:rPr>
          <w:rFonts w:ascii="Times New Roman" w:hAnsi="Times New Roman" w:eastAsia="黑体"/>
          <w:b/>
          <w:sz w:val="24"/>
        </w:rPr>
        <w:t>4  智慧脱硫技术优势与改良方向探讨</w:t>
      </w:r>
    </w:p>
    <w:p>
      <w:pPr>
        <w:spacing w:before="60" w:after="40" w:line="300" w:lineRule="auto"/>
        <w:jc w:val="left"/>
      </w:pPr>
      <w:r>
        <w:rPr>
          <w:rFonts w:ascii="Times New Roman" w:hAnsi="Times New Roman" w:eastAsia="黑体"/>
          <w:b/>
          <w:sz w:val="21"/>
        </w:rPr>
        <w:t>4.1  iFGD系统的核心优势分析</w:t>
      </w:r>
    </w:p>
    <w:p>
      <w:pPr>
        <w:spacing w:before="40" w:after="20" w:line="300" w:lineRule="auto"/>
        <w:jc w:val="left"/>
      </w:pPr>
      <w:r>
        <w:rPr>
          <w:rFonts w:ascii="Times New Roman" w:hAnsi="Times New Roman" w:eastAsia="宋体"/>
          <w:b w:val="0"/>
          <w:sz w:val="21"/>
        </w:rPr>
        <w:t>4.1.1  技术层面优势</w:t>
      </w:r>
    </w:p>
    <w:p>
      <w:pPr>
        <w:spacing w:before="0" w:after="0" w:line="300" w:lineRule="auto"/>
        <w:ind w:firstLine="420"/>
        <w:jc w:val="both"/>
      </w:pPr>
      <w:r>
        <w:rPr>
          <w:rFonts w:ascii="Times New Roman" w:hAnsi="Times New Roman" w:eastAsia="宋体"/>
          <w:b w:val="0"/>
          <w:sz w:val="21"/>
        </w:rPr>
        <w:t>iFGD系统在技术层面的核心优势体现在：第一，先进预测控制算法。GPC通过多步预测和滚动优化实现了"事前控制"，有效克服了大滞后难题，与PID的"事后调节"有本质区别。第二，外挂式架构设计。系统不修改DCS内部逻辑，通过MODBUS通讯实现数据交互，最大程度降低了对现有系统的安全风险。第三，多变量协同优化。将pH值、供浆流量、循泵组合等多个参数纳入统一优化框架，实现了从"局部最优"到"全局最优"的跨越。第四，时序多层控制。通过实时值与小时均值双层架构，兼顾了短期排放稳定和长期考核达标。</w:t>
      </w:r>
    </w:p>
    <w:p>
      <w:pPr>
        <w:spacing w:before="40" w:after="20" w:line="300" w:lineRule="auto"/>
        <w:jc w:val="left"/>
      </w:pPr>
      <w:r>
        <w:rPr>
          <w:rFonts w:ascii="Times New Roman" w:hAnsi="Times New Roman" w:eastAsia="宋体"/>
          <w:b w:val="0"/>
          <w:sz w:val="21"/>
        </w:rPr>
        <w:t>4.1.2  运行与经济层面优势</w:t>
      </w:r>
    </w:p>
    <w:p>
      <w:pPr>
        <w:spacing w:before="0" w:after="0" w:line="300" w:lineRule="auto"/>
        <w:ind w:firstLine="420"/>
        <w:jc w:val="both"/>
      </w:pPr>
      <w:r>
        <w:rPr>
          <w:rFonts w:ascii="Times New Roman" w:hAnsi="Times New Roman" w:eastAsia="宋体"/>
          <w:b w:val="0"/>
          <w:sz w:val="21"/>
        </w:rPr>
        <w:t>在运行层面，iFGD实现了从人工操作到一键智能控制、从经验驱动到数据驱动、从被动响应到主动预测的"三个转变"。运行人员只需点击"脱硫优化投入"按钮即可完成全部控制任务。经济方面，通过循环泵组合优化、供浆量精确控制和氧化风量合理调节，系统在降低石灰石消耗和电耗方面成效显著，且接近100%的投运率确保了这些效益的持续性。</w:t>
      </w:r>
    </w:p>
    <w:p>
      <w:pPr>
        <w:spacing w:before="60" w:after="40" w:line="300" w:lineRule="auto"/>
        <w:jc w:val="left"/>
      </w:pPr>
      <w:r>
        <w:rPr>
          <w:rFonts w:ascii="Times New Roman" w:hAnsi="Times New Roman" w:eastAsia="黑体"/>
          <w:b/>
          <w:sz w:val="21"/>
        </w:rPr>
        <w:t>4.2  iFGD系统与传统PID控制的对比</w:t>
      </w:r>
    </w:p>
    <w:p>
      <w:pPr>
        <w:spacing w:before="0" w:after="0" w:line="300" w:lineRule="auto"/>
        <w:ind w:firstLine="420"/>
        <w:jc w:val="both"/>
      </w:pPr>
      <w:r>
        <w:rPr>
          <w:rFonts w:ascii="Times New Roman" w:hAnsi="Times New Roman" w:eastAsia="宋体"/>
          <w:b w:val="0"/>
          <w:sz w:val="21"/>
        </w:rPr>
        <w:t>为客观评价iFGD系统的技术先进性，将其与传统PID控制方案进行系统对比，结果如表2所示。</w:t>
      </w:r>
    </w:p>
    <w:tbl>
      <w:tblPr>
        <w:tblStyle w:val="TableGrid"/>
        <w:tblW w:type="auto" w:w="0"/>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黑体"/>
                <w:b/>
                <w:sz w:val="18"/>
              </w:rPr>
              <w:t>对比维度</w:t>
            </w:r>
          </w:p>
        </w:tc>
        <w:tc>
          <w:tcPr>
            <w:tcW w:type="dxa" w:w="2771"/>
          </w:tcPr>
          <w:p>
            <w:pPr>
              <w:jc w:val="center"/>
            </w:pPr>
            <w:r/>
            <w:r>
              <w:rPr>
                <w:rFonts w:ascii="Times New Roman" w:hAnsi="Times New Roman" w:eastAsia="黑体"/>
                <w:b/>
                <w:sz w:val="18"/>
              </w:rPr>
              <w:t>传统PID控制</w:t>
            </w:r>
          </w:p>
        </w:tc>
        <w:tc>
          <w:tcPr>
            <w:tcW w:type="dxa" w:w="2771"/>
          </w:tcPr>
          <w:p>
            <w:pPr>
              <w:jc w:val="center"/>
            </w:pPr>
            <w:r/>
            <w:r>
              <w:rPr>
                <w:rFonts w:ascii="Times New Roman" w:hAnsi="Times New Roman" w:eastAsia="黑体"/>
                <w:b/>
                <w:sz w:val="18"/>
              </w:rPr>
              <w:t>iFGD预测控制</w:t>
            </w:r>
          </w:p>
        </w:tc>
      </w:tr>
      <w:tr>
        <w:tc>
          <w:tcPr>
            <w:tcW w:type="dxa" w:w="2771"/>
          </w:tcPr>
          <w:p>
            <w:pPr>
              <w:jc w:val="left"/>
            </w:pPr>
            <w:r/>
            <w:r>
              <w:rPr>
                <w:rFonts w:ascii="Times New Roman" w:hAnsi="Times New Roman" w:eastAsia="宋体"/>
                <w:b w:val="0"/>
                <w:sz w:val="18"/>
              </w:rPr>
              <w:t>大滞后处理能力</w:t>
            </w:r>
          </w:p>
        </w:tc>
        <w:tc>
          <w:tcPr>
            <w:tcW w:type="dxa" w:w="2771"/>
          </w:tcPr>
          <w:p>
            <w:pPr>
              <w:jc w:val="left"/>
            </w:pPr>
            <w:r/>
            <w:r>
              <w:rPr>
                <w:rFonts w:ascii="Times New Roman" w:hAnsi="Times New Roman" w:eastAsia="宋体"/>
                <w:b w:val="0"/>
                <w:sz w:val="18"/>
              </w:rPr>
              <w:t>困难，易产生超调和振荡</w:t>
            </w:r>
          </w:p>
        </w:tc>
        <w:tc>
          <w:tcPr>
            <w:tcW w:type="dxa" w:w="2771"/>
          </w:tcPr>
          <w:p>
            <w:pPr>
              <w:jc w:val="left"/>
            </w:pPr>
            <w:r/>
            <w:r>
              <w:rPr>
                <w:rFonts w:ascii="Times New Roman" w:hAnsi="Times New Roman" w:eastAsia="宋体"/>
                <w:b w:val="0"/>
                <w:sz w:val="18"/>
              </w:rPr>
              <w:t>优秀，通过预测补偿实现平稳控制</w:t>
            </w:r>
          </w:p>
        </w:tc>
      </w:tr>
      <w:tr>
        <w:tc>
          <w:tcPr>
            <w:tcW w:type="dxa" w:w="2771"/>
          </w:tcPr>
          <w:p>
            <w:pPr>
              <w:jc w:val="left"/>
            </w:pPr>
            <w:r/>
            <w:r>
              <w:rPr>
                <w:rFonts w:ascii="Times New Roman" w:hAnsi="Times New Roman" w:eastAsia="宋体"/>
                <w:b w:val="0"/>
                <w:sz w:val="18"/>
              </w:rPr>
              <w:t>多变量耦合处理</w:t>
            </w:r>
          </w:p>
        </w:tc>
        <w:tc>
          <w:tcPr>
            <w:tcW w:type="dxa" w:w="2771"/>
          </w:tcPr>
          <w:p>
            <w:pPr>
              <w:jc w:val="left"/>
            </w:pPr>
            <w:r/>
            <w:r>
              <w:rPr>
                <w:rFonts w:ascii="Times New Roman" w:hAnsi="Times New Roman" w:eastAsia="宋体"/>
                <w:b w:val="0"/>
                <w:sz w:val="18"/>
              </w:rPr>
              <w:t>无法有效解耦，各回路相互干扰</w:t>
            </w:r>
          </w:p>
        </w:tc>
        <w:tc>
          <w:tcPr>
            <w:tcW w:type="dxa" w:w="2771"/>
          </w:tcPr>
          <w:p>
            <w:pPr>
              <w:jc w:val="left"/>
            </w:pPr>
            <w:r/>
            <w:r>
              <w:rPr>
                <w:rFonts w:ascii="Times New Roman" w:hAnsi="Times New Roman" w:eastAsia="宋体"/>
                <w:b w:val="0"/>
                <w:sz w:val="18"/>
              </w:rPr>
              <w:t>多变量协同优化，全局最优</w:t>
            </w:r>
          </w:p>
        </w:tc>
      </w:tr>
      <w:tr>
        <w:tc>
          <w:tcPr>
            <w:tcW w:type="dxa" w:w="2771"/>
          </w:tcPr>
          <w:p>
            <w:pPr>
              <w:jc w:val="left"/>
            </w:pPr>
            <w:r/>
            <w:r>
              <w:rPr>
                <w:rFonts w:ascii="Times New Roman" w:hAnsi="Times New Roman" w:eastAsia="宋体"/>
                <w:b w:val="0"/>
                <w:sz w:val="18"/>
              </w:rPr>
              <w:t>鲁棒性和适应性</w:t>
            </w:r>
          </w:p>
        </w:tc>
        <w:tc>
          <w:tcPr>
            <w:tcW w:type="dxa" w:w="2771"/>
          </w:tcPr>
          <w:p>
            <w:pPr>
              <w:jc w:val="left"/>
            </w:pPr>
            <w:r/>
            <w:r>
              <w:rPr>
                <w:rFonts w:ascii="Times New Roman" w:hAnsi="Times New Roman" w:eastAsia="宋体"/>
                <w:b w:val="0"/>
                <w:sz w:val="18"/>
              </w:rPr>
              <w:t>参数固定，工况变化时需重新整定</w:t>
            </w:r>
          </w:p>
        </w:tc>
        <w:tc>
          <w:tcPr>
            <w:tcW w:type="dxa" w:w="2771"/>
          </w:tcPr>
          <w:p>
            <w:pPr>
              <w:jc w:val="left"/>
            </w:pPr>
            <w:r/>
            <w:r>
              <w:rPr>
                <w:rFonts w:ascii="Times New Roman" w:hAnsi="Times New Roman" w:eastAsia="宋体"/>
                <w:b w:val="0"/>
                <w:sz w:val="18"/>
              </w:rPr>
              <w:t>模型在线修正，自适应能力强</w:t>
            </w:r>
          </w:p>
        </w:tc>
      </w:tr>
      <w:tr>
        <w:tc>
          <w:tcPr>
            <w:tcW w:type="dxa" w:w="2771"/>
          </w:tcPr>
          <w:p>
            <w:pPr>
              <w:jc w:val="left"/>
            </w:pPr>
            <w:r/>
            <w:r>
              <w:rPr>
                <w:rFonts w:ascii="Times New Roman" w:hAnsi="Times New Roman" w:eastAsia="宋体"/>
                <w:b w:val="0"/>
                <w:sz w:val="18"/>
              </w:rPr>
              <w:t>控制精度</w:t>
            </w:r>
          </w:p>
        </w:tc>
        <w:tc>
          <w:tcPr>
            <w:tcW w:type="dxa" w:w="2771"/>
          </w:tcPr>
          <w:p>
            <w:pPr>
              <w:jc w:val="left"/>
            </w:pPr>
            <w:r/>
            <w:r>
              <w:rPr>
                <w:rFonts w:ascii="Times New Roman" w:hAnsi="Times New Roman" w:eastAsia="宋体"/>
                <w:b w:val="0"/>
                <w:sz w:val="18"/>
              </w:rPr>
              <w:t>±10~15 mg/Nm³</w:t>
            </w:r>
          </w:p>
        </w:tc>
        <w:tc>
          <w:tcPr>
            <w:tcW w:type="dxa" w:w="2771"/>
          </w:tcPr>
          <w:p>
            <w:pPr>
              <w:jc w:val="left"/>
            </w:pPr>
            <w:r/>
            <w:r>
              <w:rPr>
                <w:rFonts w:ascii="Times New Roman" w:hAnsi="Times New Roman" w:eastAsia="宋体"/>
                <w:b w:val="0"/>
                <w:sz w:val="18"/>
              </w:rPr>
              <w:t>±5 mg/Nm³以内</w:t>
            </w:r>
          </w:p>
        </w:tc>
      </w:tr>
      <w:tr>
        <w:tc>
          <w:tcPr>
            <w:tcW w:type="dxa" w:w="2771"/>
          </w:tcPr>
          <w:p>
            <w:pPr>
              <w:jc w:val="left"/>
            </w:pPr>
            <w:r/>
            <w:r>
              <w:rPr>
                <w:rFonts w:ascii="Times New Roman" w:hAnsi="Times New Roman" w:eastAsia="宋体"/>
                <w:b w:val="0"/>
                <w:sz w:val="18"/>
              </w:rPr>
              <w:t>自动化程度</w:t>
            </w:r>
          </w:p>
        </w:tc>
        <w:tc>
          <w:tcPr>
            <w:tcW w:type="dxa" w:w="2771"/>
          </w:tcPr>
          <w:p>
            <w:pPr>
              <w:jc w:val="left"/>
            </w:pPr>
            <w:r/>
            <w:r>
              <w:rPr>
                <w:rFonts w:ascii="Times New Roman" w:hAnsi="Times New Roman" w:eastAsia="宋体"/>
                <w:b w:val="0"/>
                <w:sz w:val="18"/>
              </w:rPr>
              <w:t>需人工频繁干预调整</w:t>
            </w:r>
          </w:p>
        </w:tc>
        <w:tc>
          <w:tcPr>
            <w:tcW w:type="dxa" w:w="2771"/>
          </w:tcPr>
          <w:p>
            <w:pPr>
              <w:jc w:val="left"/>
            </w:pPr>
            <w:r/>
            <w:r>
              <w:rPr>
                <w:rFonts w:ascii="Times New Roman" w:hAnsi="Times New Roman" w:eastAsia="宋体"/>
                <w:b w:val="0"/>
                <w:sz w:val="18"/>
              </w:rPr>
              <w:t>全自动闭环运行，一键投入/切除</w:t>
            </w:r>
          </w:p>
        </w:tc>
      </w:tr>
      <w:tr>
        <w:tc>
          <w:tcPr>
            <w:tcW w:type="dxa" w:w="2771"/>
          </w:tcPr>
          <w:p>
            <w:pPr>
              <w:jc w:val="left"/>
            </w:pPr>
            <w:r/>
            <w:r>
              <w:rPr>
                <w:rFonts w:ascii="Times New Roman" w:hAnsi="Times New Roman" w:eastAsia="宋体"/>
                <w:b w:val="0"/>
                <w:sz w:val="18"/>
              </w:rPr>
              <w:t>对运行人员的要求</w:t>
            </w:r>
          </w:p>
        </w:tc>
        <w:tc>
          <w:tcPr>
            <w:tcW w:type="dxa" w:w="2771"/>
          </w:tcPr>
          <w:p>
            <w:pPr>
              <w:jc w:val="left"/>
            </w:pPr>
            <w:r/>
            <w:r>
              <w:rPr>
                <w:rFonts w:ascii="Times New Roman" w:hAnsi="Times New Roman" w:eastAsia="宋体"/>
                <w:b w:val="0"/>
                <w:sz w:val="18"/>
              </w:rPr>
              <w:t>需要丰富经验和持续关注</w:t>
            </w:r>
          </w:p>
        </w:tc>
        <w:tc>
          <w:tcPr>
            <w:tcW w:type="dxa" w:w="2771"/>
          </w:tcPr>
          <w:p>
            <w:pPr>
              <w:jc w:val="left"/>
            </w:pPr>
            <w:r/>
            <w:r>
              <w:rPr>
                <w:rFonts w:ascii="Times New Roman" w:hAnsi="Times New Roman" w:eastAsia="宋体"/>
                <w:b w:val="0"/>
                <w:sz w:val="18"/>
              </w:rPr>
              <w:t>操作简便，大幅降低技能门槛</w:t>
            </w:r>
          </w:p>
        </w:tc>
      </w:tr>
      <w:tr>
        <w:tc>
          <w:tcPr>
            <w:tcW w:type="dxa" w:w="2771"/>
          </w:tcPr>
          <w:p>
            <w:pPr>
              <w:jc w:val="left"/>
            </w:pPr>
            <w:r/>
            <w:r>
              <w:rPr>
                <w:rFonts w:ascii="Times New Roman" w:hAnsi="Times New Roman" w:eastAsia="宋体"/>
                <w:b w:val="0"/>
                <w:sz w:val="18"/>
              </w:rPr>
              <w:t>节能降耗能力</w:t>
            </w:r>
          </w:p>
        </w:tc>
        <w:tc>
          <w:tcPr>
            <w:tcW w:type="dxa" w:w="2771"/>
          </w:tcPr>
          <w:p>
            <w:pPr>
              <w:jc w:val="left"/>
            </w:pPr>
            <w:r/>
            <w:r>
              <w:rPr>
                <w:rFonts w:ascii="Times New Roman" w:hAnsi="Times New Roman" w:eastAsia="宋体"/>
                <w:b w:val="0"/>
                <w:sz w:val="18"/>
              </w:rPr>
              <w:t>有限，保守运行导致能耗偏高</w:t>
            </w:r>
          </w:p>
        </w:tc>
        <w:tc>
          <w:tcPr>
            <w:tcW w:type="dxa" w:w="2771"/>
          </w:tcPr>
          <w:p>
            <w:pPr>
              <w:jc w:val="left"/>
            </w:pPr>
            <w:r/>
            <w:r>
              <w:rPr>
                <w:rFonts w:ascii="Times New Roman" w:hAnsi="Times New Roman" w:eastAsia="宋体"/>
                <w:b w:val="0"/>
                <w:sz w:val="18"/>
              </w:rPr>
              <w:t>显著，多目标优化实现成本最优</w:t>
            </w:r>
          </w:p>
        </w:tc>
      </w:tr>
      <w:tr>
        <w:tc>
          <w:tcPr>
            <w:tcW w:type="dxa" w:w="2771"/>
          </w:tcPr>
          <w:p>
            <w:pPr>
              <w:jc w:val="left"/>
            </w:pPr>
            <w:r/>
            <w:r>
              <w:rPr>
                <w:rFonts w:ascii="Times New Roman" w:hAnsi="Times New Roman" w:eastAsia="宋体"/>
                <w:b w:val="0"/>
                <w:sz w:val="18"/>
              </w:rPr>
              <w:t>系统可扩展性</w:t>
            </w:r>
          </w:p>
        </w:tc>
        <w:tc>
          <w:tcPr>
            <w:tcW w:type="dxa" w:w="2771"/>
          </w:tcPr>
          <w:p>
            <w:pPr>
              <w:jc w:val="left"/>
            </w:pPr>
            <w:r/>
            <w:r>
              <w:rPr>
                <w:rFonts w:ascii="Times New Roman" w:hAnsi="Times New Roman" w:eastAsia="宋体"/>
                <w:b w:val="0"/>
                <w:sz w:val="18"/>
              </w:rPr>
              <w:t>受限于DCS硬件和逻辑</w:t>
            </w:r>
          </w:p>
        </w:tc>
        <w:tc>
          <w:tcPr>
            <w:tcW w:type="dxa" w:w="2771"/>
          </w:tcPr>
          <w:p>
            <w:pPr>
              <w:jc w:val="left"/>
            </w:pPr>
            <w:r/>
            <w:r>
              <w:rPr>
                <w:rFonts w:ascii="Times New Roman" w:hAnsi="Times New Roman" w:eastAsia="宋体"/>
                <w:b w:val="0"/>
                <w:sz w:val="18"/>
              </w:rPr>
              <w:t>外挂式架构，灵活扩展升级</w:t>
            </w:r>
          </w:p>
        </w:tc>
      </w:tr>
    </w:tbl>
    <w:p>
      <w:pPr>
        <w:spacing w:before="0" w:after="60" w:line="300" w:lineRule="auto"/>
        <w:jc w:val="center"/>
      </w:pPr>
      <w:r>
        <w:rPr>
          <w:rFonts w:ascii="Times New Roman" w:hAnsi="Times New Roman" w:eastAsia="宋体"/>
          <w:b w:val="0"/>
          <w:sz w:val="18"/>
        </w:rPr>
        <w:t>表2  iFGD系统与传统PID控制对比</w:t>
      </w:r>
    </w:p>
    <w:p>
      <w:pPr>
        <w:spacing w:before="60" w:after="40" w:line="300" w:lineRule="auto"/>
        <w:jc w:val="left"/>
      </w:pPr>
      <w:r>
        <w:rPr>
          <w:rFonts w:ascii="Times New Roman" w:hAnsi="Times New Roman" w:eastAsia="黑体"/>
          <w:b/>
          <w:sz w:val="21"/>
        </w:rPr>
        <w:t>4.3  当前技术存在的不足</w:t>
      </w:r>
    </w:p>
    <w:p>
      <w:pPr>
        <w:spacing w:before="0" w:after="0" w:line="300" w:lineRule="auto"/>
        <w:ind w:firstLine="420"/>
        <w:jc w:val="both"/>
      </w:pPr>
      <w:r>
        <w:rPr>
          <w:rFonts w:ascii="Times New Roman" w:hAnsi="Times New Roman" w:eastAsia="宋体"/>
          <w:b w:val="0"/>
          <w:sz w:val="21"/>
        </w:rPr>
        <w:t>尽管iFGD系统取得了显著成功，但仍存在以下不足：（1）对CEMS和pH计等在线仪表的依赖度高，仪表故障直接影响系统可用率；（2）GPC算法在极端煤质变化或深度调峰工况下模型精度可能下降；（3）GPC参数整定需较专业的控制理论知识，增加了调试运维门槛；（4）系统主要专注于脱硫控制，与其他环保设施（如脱硝、除尘）的协同控制尚未完全打通。</w:t>
      </w:r>
    </w:p>
    <w:p>
      <w:pPr>
        <w:spacing w:before="60" w:after="40" w:line="300" w:lineRule="auto"/>
        <w:jc w:val="left"/>
      </w:pPr>
      <w:r>
        <w:rPr>
          <w:rFonts w:ascii="Times New Roman" w:hAnsi="Times New Roman" w:eastAsia="黑体"/>
          <w:b/>
          <w:sz w:val="21"/>
        </w:rPr>
        <w:t>4.4  改良方向与优化建议</w:t>
      </w:r>
    </w:p>
    <w:p>
      <w:pPr>
        <w:spacing w:before="0" w:after="0" w:line="300" w:lineRule="auto"/>
        <w:ind w:firstLine="420"/>
        <w:jc w:val="both"/>
      </w:pPr>
      <w:r>
        <w:rPr>
          <w:rFonts w:ascii="Times New Roman" w:hAnsi="Times New Roman" w:eastAsia="宋体"/>
          <w:b w:val="0"/>
          <w:sz w:val="21"/>
        </w:rPr>
        <w:t>面向未来，智慧脱硫技术可从以下维度持续升级：（1）算法层面，引入LSTM或Transformer等深度学习模型与GPC框架结合，研发基于在线学习的自适应算法；（2）系统集成层面，将脱硫、脱硝、除尘纳入统一智能环保控制平台，构建数字孪生系统；（3）数据与智能层面，引入强化学习实现控制策略自优化，开发AI智能故障诊断与预测性维护功能；（4）硬件可靠性层面，对关键仪表采用冗余配置，开发在线自动标定技术，加强工控网络安全防护。</w:t>
      </w:r>
    </w:p>
    <w:p>
      <w:pPr>
        <w:spacing w:before="180" w:after="60" w:line="300" w:lineRule="auto"/>
        <w:jc w:val="left"/>
      </w:pPr>
      <w:r>
        <w:rPr>
          <w:rFonts w:ascii="Times New Roman" w:hAnsi="Times New Roman" w:eastAsia="黑体"/>
          <w:b/>
          <w:sz w:val="24"/>
        </w:rPr>
        <w:t>5  结论与展望</w:t>
      </w:r>
    </w:p>
    <w:p>
      <w:pPr>
        <w:spacing w:before="60" w:after="40" w:line="300" w:lineRule="auto"/>
        <w:jc w:val="left"/>
      </w:pPr>
      <w:r>
        <w:rPr>
          <w:rFonts w:ascii="Times New Roman" w:hAnsi="Times New Roman" w:eastAsia="黑体"/>
          <w:b/>
          <w:sz w:val="21"/>
        </w:rPr>
        <w:t>5.1  主要结论</w:t>
      </w:r>
    </w:p>
    <w:p>
      <w:pPr>
        <w:spacing w:before="0" w:after="0" w:line="300" w:lineRule="auto"/>
        <w:ind w:firstLine="420"/>
        <w:jc w:val="both"/>
      </w:pPr>
      <w:r>
        <w:rPr>
          <w:rFonts w:ascii="Times New Roman" w:hAnsi="Times New Roman" w:eastAsia="宋体"/>
          <w:b w:val="0"/>
          <w:sz w:val="21"/>
        </w:rPr>
        <w:t>本文以江阴利港2×100万千瓦机组扩建项目脱硫EPC总承包工程的iFGD智慧脱硫控制系统为研究对象，系统分析了其技术架构、核心算法和实施效果。通过本研究可以得出以下主要结论：</w:t>
      </w:r>
    </w:p>
    <w:p>
      <w:pPr>
        <w:spacing w:before="0" w:after="0" w:line="300" w:lineRule="auto"/>
        <w:ind w:firstLine="420"/>
        <w:jc w:val="both"/>
      </w:pPr>
      <w:r>
        <w:rPr>
          <w:rFonts w:ascii="Times New Roman" w:hAnsi="Times New Roman" w:eastAsia="宋体"/>
          <w:b w:val="0"/>
          <w:sz w:val="21"/>
        </w:rPr>
        <w:t>（1）iFGD系统基于GPC算法，采用外挂式架构和MODBUS通讯协议，有效解决了湿法脱硫过程中pH值大滞后、大惯性的控制难题，实现了全自动闭环优化控制。（2）实际运行数据充分验证了系统品质：稳态工况下出口SO₂浓度偏差小于±5 mg/Nm³，标准方差仅3 mg/Nm³；AGC变负荷工况下仍保持±5 mg/Nm³的控制精度；设定值阶跃响应平稳，过渡时间约30-40分钟。（3）系统自动投运率达100%（排除仪表标定等客观因素），超过99.9%的项目目标。（4）系统通过浆液循环泵组合优化、氧化风量智能调节实现了显著的节能降耗效果，大幅降低了运行人员操作强度。（5）与传统PID控制相比，iFGD系统在大滞后处理、多变量耦合处理、自适应能力和控制精度等指标上具有显著优势。</w:t>
      </w:r>
    </w:p>
    <w:p>
      <w:pPr>
        <w:spacing w:before="60" w:after="40" w:line="300" w:lineRule="auto"/>
        <w:jc w:val="left"/>
      </w:pPr>
      <w:r>
        <w:rPr>
          <w:rFonts w:ascii="Times New Roman" w:hAnsi="Times New Roman" w:eastAsia="黑体"/>
          <w:b/>
          <w:sz w:val="21"/>
        </w:rPr>
        <w:t>5.2  技术创新点总结</w:t>
      </w:r>
    </w:p>
    <w:p>
      <w:pPr>
        <w:spacing w:before="0" w:after="0" w:line="300" w:lineRule="auto"/>
        <w:ind w:firstLine="420"/>
        <w:jc w:val="both"/>
      </w:pPr>
      <w:r>
        <w:rPr>
          <w:rFonts w:ascii="Times New Roman" w:hAnsi="Times New Roman" w:eastAsia="宋体"/>
          <w:b w:val="0"/>
          <w:sz w:val="21"/>
        </w:rPr>
        <w:t>本项目技术创新主要体现在四个方面：一是GPC算法在脱硫pH值控制中的工程化应用，实现了从理论到工程的完整转化；二是时序多层控制架构设计，将小时均值纳入控制目标体系；三是机理与数据驱动融合的建模方法，构建了兼顾物理约束和数据特征的混合模型；四是外挂式架构在存量机组改造中的适配性创新，为存量机组智能化改造提供了可行的技术路径。</w:t>
      </w:r>
    </w:p>
    <w:p>
      <w:pPr>
        <w:spacing w:before="60" w:after="40" w:line="300" w:lineRule="auto"/>
        <w:jc w:val="left"/>
      </w:pPr>
      <w:r>
        <w:rPr>
          <w:rFonts w:ascii="Times New Roman" w:hAnsi="Times New Roman" w:eastAsia="黑体"/>
          <w:b/>
          <w:sz w:val="21"/>
        </w:rPr>
        <w:t>5.3  推广前景与应用展望</w:t>
      </w:r>
    </w:p>
    <w:p>
      <w:pPr>
        <w:spacing w:before="0" w:after="0" w:line="300" w:lineRule="auto"/>
        <w:ind w:firstLine="420"/>
        <w:jc w:val="both"/>
      </w:pPr>
      <w:r>
        <w:rPr>
          <w:rFonts w:ascii="Times New Roman" w:hAnsi="Times New Roman" w:eastAsia="宋体"/>
          <w:b w:val="0"/>
          <w:sz w:val="21"/>
        </w:rPr>
        <w:t>iFGD系统的成功投运验证了系统的可靠性、安全性和经济性。其外挂式架构和标准化通讯协议可灵活适配不同容量等级（30万~100万千瓦）和不同控制系统的机组，为已完成超低排放改造的存量机组提供了见效快、风险低、效益高的技术升级路径。展望未来，智慧脱硫技术将沿着"智能化→协同化→自主化"的路径演进，逐步实现"无人干预、自适应优化"的终极目标。</w:t>
      </w:r>
    </w:p>
    <w:p>
      <w:pPr>
        <w:spacing w:before="180" w:after="60" w:line="300" w:lineRule="auto"/>
        <w:jc w:val="left"/>
      </w:pPr>
      <w:r>
        <w:rPr>
          <w:rFonts w:ascii="Times New Roman" w:hAnsi="Times New Roman" w:eastAsia="黑体"/>
          <w:b/>
          <w:sz w:val="24"/>
        </w:rPr>
        <w:t>参考文献</w:t>
      </w:r>
    </w:p>
    <w:p>
      <w:pPr>
        <w:spacing w:before="0" w:after="0" w:line="300" w:lineRule="auto"/>
        <w:jc w:val="both"/>
      </w:pPr>
      <w:r>
        <w:rPr>
          <w:rFonts w:ascii="Times New Roman" w:hAnsi="Times New Roman" w:eastAsia="宋体"/>
          <w:b w:val="0"/>
          <w:sz w:val="21"/>
        </w:rPr>
        <w:t>[1] 上海鉴智软件技术有限公司. 江阴利港2×100万千瓦机组扩建项目脱硫EPC总承包工程智慧脱硫控制系统总结报告[R]. 2026.</w:t>
      </w:r>
    </w:p>
    <w:p>
      <w:pPr>
        <w:spacing w:before="0" w:after="0" w:line="300" w:lineRule="auto"/>
        <w:jc w:val="both"/>
      </w:pPr>
      <w:r>
        <w:rPr>
          <w:rFonts w:ascii="Times New Roman" w:hAnsi="Times New Roman" w:eastAsia="宋体"/>
          <w:b w:val="0"/>
          <w:sz w:val="21"/>
        </w:rPr>
        <w:t>[2] 上海鉴智软件技术有限公司. 超低排放FGD装置净烟气SO₂浓度智能闭环控制系统iFGD工程师维护手册[Z]. 2026.</w:t>
      </w:r>
    </w:p>
    <w:p>
      <w:pPr>
        <w:spacing w:before="0" w:after="0" w:line="300" w:lineRule="auto"/>
        <w:jc w:val="both"/>
      </w:pPr>
      <w:r>
        <w:rPr>
          <w:rFonts w:ascii="Times New Roman" w:hAnsi="Times New Roman" w:eastAsia="宋体"/>
          <w:b w:val="0"/>
          <w:sz w:val="21"/>
        </w:rPr>
        <w:t>[3] 上海鉴智软件技术有限公司. 脱硫系统优化控制系统(iFGD)运行操作手册[Z]. 2026.</w:t>
      </w:r>
    </w:p>
    <w:p>
      <w:pPr>
        <w:spacing w:before="0" w:after="0" w:line="300" w:lineRule="auto"/>
        <w:jc w:val="both"/>
      </w:pPr>
      <w:r>
        <w:rPr>
          <w:rFonts w:ascii="Times New Roman" w:hAnsi="Times New Roman" w:eastAsia="宋体"/>
          <w:b w:val="0"/>
          <w:sz w:val="21"/>
        </w:rPr>
        <w:t>[4] Clarke D W, Mohtadi C, Tuffs P S. Generalized predictive control—Part I. The basic algorithm[J]. Automatica, 1987, 23(2): 137-148.</w:t>
      </w:r>
    </w:p>
    <w:p>
      <w:pPr>
        <w:spacing w:before="0" w:after="0" w:line="300" w:lineRule="auto"/>
        <w:jc w:val="both"/>
      </w:pPr>
      <w:r>
        <w:rPr>
          <w:rFonts w:ascii="Times New Roman" w:hAnsi="Times New Roman" w:eastAsia="宋体"/>
          <w:b w:val="0"/>
          <w:sz w:val="21"/>
        </w:rPr>
        <w:t>[5] Clarke D W, Mohtadi C, Tuffs P S. Generalized predictive control—Part II. Extensions and interpretations[J]. Automatica, 1987, 23(2): 149-160.</w:t>
      </w:r>
    </w:p>
    <w:p>
      <w:pPr>
        <w:spacing w:before="0" w:after="0" w:line="300" w:lineRule="auto"/>
        <w:jc w:val="both"/>
      </w:pPr>
      <w:r>
        <w:rPr>
          <w:rFonts w:ascii="Times New Roman" w:hAnsi="Times New Roman" w:eastAsia="宋体"/>
          <w:b w:val="0"/>
          <w:sz w:val="21"/>
        </w:rPr>
        <w:t>[6] Richalet J, Rault A, Testud J L, et al. Model predictive heuristic control: Applications to industrial processes[J]. Automatica, 1978, 14(5): 413-428.</w:t>
      </w:r>
    </w:p>
    <w:p>
      <w:pPr>
        <w:spacing w:before="0" w:after="0" w:line="300" w:lineRule="auto"/>
        <w:jc w:val="both"/>
      </w:pPr>
      <w:r>
        <w:rPr>
          <w:rFonts w:ascii="Times New Roman" w:hAnsi="Times New Roman" w:eastAsia="宋体"/>
          <w:b w:val="0"/>
          <w:sz w:val="21"/>
        </w:rPr>
        <w:t>[7] Qin S J, Badgwell T A. A survey of industrial model predictive control technology[J]. Control Engineering Practice, 2003, 11(7): 733-764.</w:t>
      </w:r>
    </w:p>
    <w:p>
      <w:pPr>
        <w:spacing w:before="0" w:after="0" w:line="300" w:lineRule="auto"/>
        <w:jc w:val="both"/>
      </w:pPr>
      <w:r>
        <w:rPr>
          <w:rFonts w:ascii="Times New Roman" w:hAnsi="Times New Roman" w:eastAsia="宋体"/>
          <w:b w:val="0"/>
          <w:sz w:val="21"/>
        </w:rPr>
        <w:t>[8] Camacho E F, Bordons C. Model Predictive Control[M]. 2nd ed. London: Springer-Verlag, 2004.</w:t>
      </w:r>
    </w:p>
    <w:p>
      <w:pPr>
        <w:spacing w:before="0" w:after="0" w:line="300" w:lineRule="auto"/>
        <w:jc w:val="both"/>
      </w:pPr>
      <w:r>
        <w:rPr>
          <w:rFonts w:ascii="Times New Roman" w:hAnsi="Times New Roman" w:eastAsia="宋体"/>
          <w:b w:val="0"/>
          <w:sz w:val="21"/>
        </w:rPr>
        <w:t>[9] 席裕庚. 预测控制[M]. 北京: 国防工业出版社, 2013.</w:t>
      </w:r>
    </w:p>
    <w:p>
      <w:pPr>
        <w:spacing w:before="0" w:after="0" w:line="300" w:lineRule="auto"/>
        <w:jc w:val="both"/>
      </w:pPr>
      <w:r>
        <w:rPr>
          <w:rFonts w:ascii="Times New Roman" w:hAnsi="Times New Roman" w:eastAsia="宋体"/>
          <w:b w:val="0"/>
          <w:sz w:val="21"/>
        </w:rPr>
        <w:t>[10] 诸静. 智能预测控制及其应用[M]. 杭州: 浙江大学出版社, 2002.</w:t>
      </w:r>
    </w:p>
    <w:p>
      <w:pPr>
        <w:spacing w:before="0" w:after="0" w:line="300" w:lineRule="auto"/>
        <w:jc w:val="both"/>
      </w:pPr>
      <w:r>
        <w:rPr>
          <w:rFonts w:ascii="Times New Roman" w:hAnsi="Times New Roman" w:eastAsia="宋体"/>
          <w:b w:val="0"/>
          <w:sz w:val="21"/>
        </w:rPr>
        <w:t>[11] 国家发展和改革委员会, 国家能源局. "十四五"现代能源体系规划[Z]. 2022.</w:t>
      </w:r>
    </w:p>
    <w:p>
      <w:pPr>
        <w:spacing w:before="0" w:after="0" w:line="300" w:lineRule="auto"/>
        <w:jc w:val="both"/>
      </w:pPr>
      <w:r>
        <w:rPr>
          <w:rFonts w:ascii="Times New Roman" w:hAnsi="Times New Roman" w:eastAsia="宋体"/>
          <w:b w:val="0"/>
          <w:sz w:val="21"/>
        </w:rPr>
        <w:t>[12] 生态环境部. 关于推进实施水泥行业超低排放的意见[Z]. 2024.</w:t>
      </w:r>
    </w:p>
    <w:p>
      <w:pPr>
        <w:spacing w:before="0" w:after="0" w:line="300" w:lineRule="auto"/>
        <w:jc w:val="both"/>
      </w:pPr>
      <w:r>
        <w:rPr>
          <w:rFonts w:ascii="Times New Roman" w:hAnsi="Times New Roman" w:eastAsia="宋体"/>
          <w:b w:val="0"/>
          <w:sz w:val="21"/>
        </w:rPr>
        <w:t>[13] 中国电力企业联合会. 中国电力行业年度发展报告2025[R]. 2025.</w:t>
      </w:r>
    </w:p>
    <w:p>
      <w:pPr>
        <w:spacing w:before="0" w:after="0" w:line="300" w:lineRule="auto"/>
        <w:jc w:val="both"/>
      </w:pPr>
      <w:r>
        <w:rPr>
          <w:rFonts w:ascii="Times New Roman" w:hAnsi="Times New Roman" w:eastAsia="宋体"/>
          <w:b w:val="0"/>
          <w:sz w:val="21"/>
        </w:rPr>
        <w:t>[14] 刘永文, 刘吉臻, 等. 火电机组脱硫系统建模与优化控制研究综述[J]. 中国电机工程学报, 2023, 43(15): 5867-5885.</w:t>
      </w:r>
    </w:p>
    <w:p>
      <w:pPr>
        <w:spacing w:before="0" w:after="0" w:line="300" w:lineRule="auto"/>
        <w:jc w:val="both"/>
      </w:pPr>
      <w:r>
        <w:rPr>
          <w:rFonts w:ascii="Times New Roman" w:hAnsi="Times New Roman" w:eastAsia="宋体"/>
          <w:b w:val="0"/>
          <w:sz w:val="21"/>
        </w:rPr>
        <w:t>[15] 张兴, 李海涛, 等. 基于预测控制的湿法脱硫pH值控制策略研究[J]. 电力科技与环保, 2022, 38(4): 308-315.</w:t>
      </w:r>
    </w:p>
    <w:sectPr w:rsidR="00FC693F" w:rsidRPr="0006063C" w:rsidSect="00034616">
      <w:type w:val="continuous"/>
      <w:pgSz w:w="11906" w:h="16838"/>
      <w:pgMar w:top="1440" w:right="1797" w:bottom="1440" w:left="1797" w:header="720" w:footer="720" w:gutter="0"/>
      <w:cols w:space="4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