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00" w:lineRule="auto"/>
        <w:jc w:val="center"/>
      </w:pPr>
      <w:r>
        <w:rPr>
          <w:rFonts w:ascii="Times New Roman" w:hAnsi="Times New Roman" w:eastAsia="黑体"/>
          <w:b/>
          <w:sz w:val="36"/>
        </w:rPr>
        <w:t>利港智慧脱硫系统研究与分析</w:t>
      </w:r>
    </w:p>
    <w:p>
      <w:pPr>
        <w:spacing w:before="0" w:after="60" w:line="300" w:lineRule="auto"/>
        <w:jc w:val="center"/>
      </w:pPr>
      <w:r>
        <w:rPr>
          <w:rFonts w:ascii="Times New Roman" w:hAnsi="Times New Roman" w:eastAsia="楷体"/>
          <w:b w:val="0"/>
          <w:sz w:val="28"/>
        </w:rPr>
        <w:t>（此处填写作者姓名）</w:t>
      </w:r>
    </w:p>
    <w:p>
      <w:pPr>
        <w:spacing w:before="0" w:after="120" w:line="300" w:lineRule="auto"/>
        <w:jc w:val="center"/>
      </w:pPr>
      <w:r>
        <w:rPr>
          <w:rFonts w:ascii="Times New Roman" w:hAnsi="Times New Roman" w:eastAsia="宋体"/>
          <w:b w:val="0"/>
          <w:sz w:val="21"/>
        </w:rPr>
        <w:t>（上海鉴智软件技术有限公司，上海 200000）</w:t>
      </w:r>
    </w:p>
    <w:p>
      <w:pPr>
        <w:spacing w:before="120" w:after="0" w:line="300" w:lineRule="auto"/>
        <w:ind w:firstLine="360"/>
        <w:jc w:val="both"/>
      </w:pPr>
      <w:r>
        <w:rPr>
          <w:rFonts w:ascii="Times New Roman" w:hAnsi="Times New Roman" w:eastAsia="宋体"/>
          <w:b w:val="0"/>
          <w:sz w:val="18"/>
        </w:rPr>
        <w:t>摘  要：</w:t>
      </w:r>
      <w:r>
        <w:rPr>
          <w:rFonts w:ascii="Times New Roman" w:hAnsi="Times New Roman" w:eastAsia="宋体"/>
          <w:b w:val="0"/>
          <w:sz w:val="18"/>
        </w:rPr>
        <w:t>随着国家"双碳"战略目标的深入推进和火电机组超低排放标准的日趋严格，燃煤电厂脱硫系统面临着环保指标闭环控制不完善、设备动态特性耦合加剧、协同控制策略不明确、系统能耗偏高等多重挑战。本文以江阴利港2×100万千瓦机组扩建项目脱硫EPC总承包工程为研究对象，系统分析了其智慧脱硫控制系统（iFGD）的技术架构、核心算法与实际应用效果。iFGD系统采用外挂式架构，通过标准的MODBUS协议与机组DCS系统实现安全可靠的双向通讯。系统核心采用广义预测控制（GPC）算法，基于受控自回归积分滑动平均（CARIMA）模型，通过Diophantine方程递推求解和滚动优化策略，有效克服了湿法脱硫过程中吸收塔浆液pH值大滞后、大惯性的控制难题。实际运行数据表明：在稳态负荷工况下，出口SO₂浓度可稳定控制在设定值±5 mg/Nm³以内；在AGC变负荷工况下控制精度同样满足±5 mg/Nm³的要求；系统自动投运率达到100%。本文还深入分析了iFGD系统的优势与不足，并从算法优化、系统集成、数据智能和硬件可靠性四个维度提出了具体的改良方向。</w:t>
      </w:r>
    </w:p>
    <w:p>
      <w:pPr>
        <w:spacing w:before="0" w:after="180" w:line="300" w:lineRule="auto"/>
        <w:ind w:firstLine="360"/>
        <w:jc w:val="both"/>
      </w:pPr>
      <w:r>
        <w:rPr>
          <w:rFonts w:ascii="Times New Roman" w:hAnsi="Times New Roman" w:eastAsia="宋体"/>
          <w:b w:val="0"/>
          <w:sz w:val="18"/>
        </w:rPr>
        <w:t>关键词：智慧脱硫；广义预测控制；iFGD；湿法脱硫；闭环控制；节能降耗</w:t>
      </w:r>
    </w:p>
    <w:p>
      <w:pPr>
        <w:spacing w:before="180" w:after="60" w:line="300" w:lineRule="auto"/>
        <w:jc w:val="left"/>
      </w:pPr>
      <w:r>
        <w:rPr>
          <w:rFonts w:ascii="Times New Roman" w:hAnsi="Times New Roman" w:eastAsia="黑体"/>
          <w:b/>
          <w:sz w:val="24"/>
        </w:rPr>
        <w:t>0  引言</w:t>
      </w:r>
    </w:p>
    <w:p>
      <w:pPr>
        <w:spacing w:before="60" w:after="40" w:line="300" w:lineRule="auto"/>
        <w:jc w:val="left"/>
      </w:pPr>
      <w:r>
        <w:rPr>
          <w:rFonts w:ascii="Times New Roman" w:hAnsi="Times New Roman" w:eastAsia="黑体"/>
          <w:b/>
          <w:sz w:val="21"/>
        </w:rPr>
        <w:t>0.1  研究背景</w:t>
      </w:r>
    </w:p>
    <w:p>
      <w:pPr>
        <w:spacing w:before="0" w:after="0" w:line="300" w:lineRule="auto"/>
        <w:ind w:firstLine="420"/>
        <w:jc w:val="both"/>
      </w:pPr>
      <w:r>
        <w:rPr>
          <w:rFonts w:ascii="Times New Roman" w:hAnsi="Times New Roman" w:eastAsia="宋体"/>
          <w:b w:val="0"/>
          <w:sz w:val="21"/>
        </w:rPr>
        <w:t>随着"碳达峰、碳中和"战略目标的持续推进，我国能源结构正在发生深刻变革。新能源占比不断提高，火电机组从传统的基荷运行逐步转向深度调峰运行模式，机组负荷变动频繁、变化幅度大，对环保设施的适应性和控制品质提出了更高要求。与此同时，国家环保排放标准日趋严格，超低排放改造已完成全面覆盖，火电企业面临着多重压力：既要确保环保指标稳定达标以避免经济处罚和社会形象损失，又要通过优化运行策略实现节能降耗以降低运营成本。</w:t>
      </w:r>
    </w:p>
    <w:p>
      <w:pPr>
        <w:spacing w:before="0" w:after="0" w:line="300" w:lineRule="auto"/>
        <w:ind w:firstLine="420"/>
        <w:jc w:val="both"/>
      </w:pPr>
      <w:r>
        <w:rPr>
          <w:rFonts w:ascii="Times New Roman" w:hAnsi="Times New Roman" w:eastAsia="宋体"/>
          <w:b w:val="0"/>
          <w:sz w:val="21"/>
        </w:rPr>
        <w:t>脱硫系统作为火电机组环保设施的核心环节，其运行水平直接关系到企业的环保达标和经营效益。然而，当前国内大量火电机组脱硫系统存在以下共性问题：第一，环保排放指标闭环控制逻辑不完善，出口SO₂浓度控制仍依赖运行人员手动调节，控制品质波动大；第二，脱硫系统内部浆液循环泵、供浆调节阀、氧化风机等多设备间的动态特性耦合加剧，导致协同控制策略不明确，难以实现全局最优；第三，脱硫过程连续调节能力不足，在负荷和煤质快速变化时容易导致排放超标；第四，由于控制手段落后，运行人员为保证环保达标不得不采用保守策略，导致脱硫系统能耗普遍偏高，存在巨大的节能降耗空间。</w:t>
      </w:r>
    </w:p>
    <w:p>
      <w:pPr>
        <w:spacing w:before="0" w:after="0" w:line="300" w:lineRule="auto"/>
        <w:ind w:firstLine="420"/>
        <w:jc w:val="both"/>
      </w:pPr>
      <w:r>
        <w:rPr>
          <w:rFonts w:ascii="Times New Roman" w:hAnsi="Times New Roman" w:eastAsia="宋体"/>
          <w:b w:val="0"/>
          <w:sz w:val="21"/>
        </w:rPr>
        <w:t>在上述背景下，智慧脱硫技术应运而生。它融合了先进控制理论、人工智能技术和工业互联网技术，旨在实现脱硫系统的自动闭环优化控制，在确保环保达标排放的前提下，最大限度地降低运行成本和人员劳动强度。江阴利港2×100万千瓦机组扩建项目所采用的iFGD（Intelligent Flue Gas Desulfurization）智慧脱硫控制系统，正是这一技术方向的典型代表。</w:t>
      </w:r>
    </w:p>
    <w:p>
      <w:pPr>
        <w:spacing w:before="60" w:after="40" w:line="300" w:lineRule="auto"/>
        <w:jc w:val="left"/>
      </w:pPr>
      <w:r>
        <w:rPr>
          <w:rFonts w:ascii="Times New Roman" w:hAnsi="Times New Roman" w:eastAsia="黑体"/>
          <w:b/>
          <w:sz w:val="21"/>
        </w:rPr>
        <w:t>0.2  研究目的与意义</w:t>
      </w:r>
    </w:p>
    <w:p>
      <w:pPr>
        <w:spacing w:before="0" w:after="0" w:line="300" w:lineRule="auto"/>
        <w:ind w:firstLine="420"/>
        <w:jc w:val="both"/>
      </w:pPr>
      <w:r>
        <w:rPr>
          <w:rFonts w:ascii="Times New Roman" w:hAnsi="Times New Roman" w:eastAsia="宋体"/>
          <w:b w:val="0"/>
          <w:sz w:val="21"/>
        </w:rPr>
        <w:t>本文以江阴利港电厂#9、#10机组智慧脱硫控制系统项目为研究对象，旨在实现以下研究目的：第一，系统梳理iFGD智慧脱硫系统的技术架构、核心算法和实现方案，完整呈现其技术全貌；第二，基于项目实际运行数据，客观评估智慧脱硫系统的控制品质、可靠性和综合效益；第三，深入分析智慧脱硫技术相较于传统控制方式的独特优势，同时识别当前技术存在的不足；第四，从技术演进的角度提出智慧脱硫系统的改良方向和优化建议。</w:t>
      </w:r>
    </w:p>
    <w:p>
      <w:pPr>
        <w:spacing w:before="0" w:after="0" w:line="300" w:lineRule="auto"/>
        <w:ind w:firstLine="420"/>
        <w:jc w:val="both"/>
      </w:pPr>
      <w:r>
        <w:rPr>
          <w:rFonts w:ascii="Times New Roman" w:hAnsi="Times New Roman" w:eastAsia="宋体"/>
          <w:b w:val="0"/>
          <w:sz w:val="21"/>
        </w:rPr>
        <w:t>本研究的意义在于：一方面，通过对成功工程案例的深入剖析，为火电行业脱硫系统的智能化改造提供可复制、可推广的技术经验和实践参考；另一方面，前瞻性地探讨智慧脱硫技术的改良方向，为技术迭代升级提供理论依据。这对于推动火电行业绿色低碳转型、助力"双碳"目标实现具有重要的现实意义。</w:t>
      </w:r>
    </w:p>
    <w:p>
      <w:pPr>
        <w:spacing w:before="60" w:after="40" w:line="300" w:lineRule="auto"/>
        <w:jc w:val="left"/>
      </w:pPr>
      <w:r>
        <w:rPr>
          <w:rFonts w:ascii="Times New Roman" w:hAnsi="Times New Roman" w:eastAsia="黑体"/>
          <w:b/>
          <w:sz w:val="21"/>
        </w:rPr>
        <w:t>0.3  国内外研究现状</w:t>
      </w:r>
    </w:p>
    <w:p>
      <w:pPr>
        <w:spacing w:before="0" w:after="0" w:line="300" w:lineRule="auto"/>
        <w:ind w:firstLine="420"/>
        <w:jc w:val="both"/>
      </w:pPr>
      <w:r>
        <w:rPr>
          <w:rFonts w:ascii="Times New Roman" w:hAnsi="Times New Roman" w:eastAsia="宋体"/>
          <w:b w:val="0"/>
          <w:sz w:val="21"/>
        </w:rPr>
        <w:t>在脱硫过程控制领域，国内外学者和企业技术人员开展了大量研究工作。传统的石灰石-石膏湿法脱硫过程具有典型的大滞后、大惯性和非线性时变特性，常规PID控制器难以在全工况范围内获得令人满意的控制品质。为此，研究者们探索了多种先进控制策略在脱硫过程中的应用。</w:t>
      </w:r>
    </w:p>
    <w:p>
      <w:pPr>
        <w:spacing w:before="0" w:after="0" w:line="300" w:lineRule="auto"/>
        <w:ind w:firstLine="420"/>
        <w:jc w:val="both"/>
      </w:pPr>
      <w:r>
        <w:rPr>
          <w:rFonts w:ascii="Times New Roman" w:hAnsi="Times New Roman" w:eastAsia="宋体"/>
          <w:b w:val="0"/>
          <w:sz w:val="21"/>
        </w:rPr>
        <w:t>在预测控制方面，自Clarke等人于1987年提出广义预测控制（GPC）理论以来[4-5]，该算法在工业过程控制领域得到了广泛关注和应用。GPC算法基于CARIMA模型，具有多步预测、滚动优化和反馈校正三大特征，特别适合处理大时滞、慢动态过程。Richalet等人提出的模型预测启发控制（MPHC）也在工业领域取得了成功应用[6]。Qin和Badgwell对工业模型预测控制技术进行了全面的综述[7]，Camacho和Bordons在其专著中系统阐述了模型预测控制的理论体系[8]。近年来，随着人工智能技术的快速发展，神经网络、模糊控制和深度学习等方法也被尝试引入脱硫过程控制，但在工程实用性和可靠性方面仍有待进一步验证。</w:t>
      </w:r>
    </w:p>
    <w:p>
      <w:pPr>
        <w:spacing w:before="0" w:after="0" w:line="300" w:lineRule="auto"/>
        <w:ind w:firstLine="420"/>
        <w:jc w:val="both"/>
      </w:pPr>
      <w:r>
        <w:rPr>
          <w:rFonts w:ascii="Times New Roman" w:hAnsi="Times New Roman" w:eastAsia="宋体"/>
          <w:b w:val="0"/>
          <w:sz w:val="21"/>
        </w:rPr>
        <w:t>在国内，席裕庚教授在预测控制领域进行了长期而深入的研究[9]，诸静等学者也在智能预测控制方面做出了重要贡献[10]。上海鉴智软件技术有限公司等企业率先将GPC算法应用于火电机组脱硫控制，开发了iFGD智慧脱硫控制系统。该项目已在江阴利港电厂成功投运，形成了"外挂式架构+预测控制算法+可视化监控"的完整解决方案。然而，现有文献对智慧脱硫系统的系统性总结和深入分析仍然较少，特别是在技术优势的量化对比和改良方向的前瞻性探讨方面存在空白。本文正是针对这一研究缺口展开工作。</w:t>
      </w:r>
    </w:p>
    <w:p>
      <w:pPr>
        <w:spacing w:before="60" w:after="40" w:line="300" w:lineRule="auto"/>
        <w:jc w:val="left"/>
      </w:pPr>
      <w:r>
        <w:rPr>
          <w:rFonts w:ascii="Times New Roman" w:hAnsi="Times New Roman" w:eastAsia="黑体"/>
          <w:b/>
          <w:sz w:val="21"/>
        </w:rPr>
        <w:t>0.4  论文结构安排</w:t>
      </w:r>
    </w:p>
    <w:p>
      <w:pPr>
        <w:spacing w:before="0" w:after="0" w:line="300" w:lineRule="auto"/>
        <w:ind w:firstLine="420"/>
        <w:jc w:val="both"/>
      </w:pPr>
      <w:r>
        <w:rPr>
          <w:rFonts w:ascii="Times New Roman" w:hAnsi="Times New Roman" w:eastAsia="宋体"/>
          <w:b w:val="0"/>
          <w:sz w:val="21"/>
        </w:rPr>
        <w:t>本文共分六章，结构安排如下：本章为引言，阐述研究背景、意义和国内外现状；第1章介绍江阴利港电厂项目概况和传统脱硫系统的运行现状及存在问题，明确智慧脱硫系统建设的动因和目标；第2章重点分析iFGD系统的技术架构，包括系统组成、GPC算法原理、多变量协同优化策略和时序多层控制架构等核心技术；第3章基于实际运行数据，从稳态/变负荷控制效果、设定值跟踪、系统投运率和综合效益等多个维度评价实施效果；第4章系统总结智慧脱硫技术的核心优势，通过与PID控制的对比分析识别现有不足，并从算法、系统集成、数据智能和硬件可靠性四个维度提出改良方向；第5章给出主要结论、技术创新点总结和应用前景展望。</w:t>
      </w:r>
    </w:p>
    <w:p>
      <w:pPr>
        <w:spacing w:before="180" w:after="60" w:line="300" w:lineRule="auto"/>
        <w:jc w:val="left"/>
      </w:pPr>
      <w:r>
        <w:rPr>
          <w:rFonts w:ascii="Times New Roman" w:hAnsi="Times New Roman" w:eastAsia="黑体"/>
          <w:b/>
          <w:sz w:val="24"/>
        </w:rPr>
        <w:t>1  项目概况与脱硫系统现状分析</w:t>
      </w:r>
    </w:p>
    <w:p>
      <w:pPr>
        <w:spacing w:before="60" w:after="40" w:line="300" w:lineRule="auto"/>
        <w:jc w:val="left"/>
      </w:pPr>
      <w:r>
        <w:rPr>
          <w:rFonts w:ascii="Times New Roman" w:hAnsi="Times New Roman" w:eastAsia="黑体"/>
          <w:b/>
          <w:sz w:val="21"/>
        </w:rPr>
        <w:t>1.1  江阴利港电厂项目概况</w:t>
      </w:r>
    </w:p>
    <w:p>
      <w:pPr>
        <w:spacing w:before="0" w:after="0" w:line="300" w:lineRule="auto"/>
        <w:ind w:firstLine="420"/>
        <w:jc w:val="both"/>
      </w:pPr>
      <w:r>
        <w:rPr>
          <w:rFonts w:ascii="Times New Roman" w:hAnsi="Times New Roman" w:eastAsia="宋体"/>
          <w:b w:val="0"/>
          <w:sz w:val="21"/>
        </w:rPr>
        <w:t>江阴利港电厂2×100万千瓦机组扩建项目是大型火力发电建设工程，建设两台百万千瓦级超超临界燃煤发电机组（编号#9、#10）。根据国家环保要求，项目同步配套建设了高效烟气脱硫设施，采用石灰石-石膏湿法烟气脱硫（Wet Flue Gas Desulfurization, WFGD）工艺。</w:t>
      </w:r>
    </w:p>
    <w:p>
      <w:pPr>
        <w:spacing w:before="0" w:after="0" w:line="300" w:lineRule="auto"/>
        <w:ind w:firstLine="420"/>
        <w:jc w:val="both"/>
      </w:pPr>
      <w:r>
        <w:rPr>
          <w:rFonts w:ascii="Times New Roman" w:hAnsi="Times New Roman" w:eastAsia="宋体"/>
          <w:b w:val="0"/>
          <w:sz w:val="21"/>
        </w:rPr>
        <w:t>该脱硫系统的基本配置为：1炉1塔方案，每台机组脱硫系统配置5台浆液循环泵，设计工况下4用1备，校核工况下5台全部投用；配置5台高速离心式氧化风机，出口母管连通，设计工况下2用3备，校核工况下3用2备。每台机组脱硫氧化风管设有流量测试和调节阀，可对氧化风量进行独立调节控制。</w:t>
      </w:r>
    </w:p>
    <w:p>
      <w:pPr>
        <w:spacing w:before="0" w:after="0" w:line="300" w:lineRule="auto"/>
        <w:ind w:firstLine="420"/>
        <w:jc w:val="both"/>
      </w:pPr>
      <w:r>
        <w:rPr>
          <w:rFonts w:ascii="Times New Roman" w:hAnsi="Times New Roman" w:eastAsia="宋体"/>
          <w:b w:val="0"/>
          <w:sz w:val="21"/>
        </w:rPr>
        <w:t>智慧脱硫控制系统项目由上海鉴智软件技术有限公司承担，包括#9、#10机组"智慧脱硫控制系统"的研发、设计、安装、调试及验收等全部工作。项目于2026年初完成调试并交付运行投运，目前已实现烟囱净烟气出口SO₂浓度的闭环控制、浆液循环泵的节能指导以及氧化风量的自动优化控制。</w:t>
      </w:r>
    </w:p>
    <w:p>
      <w:pPr>
        <w:spacing w:before="60" w:after="40" w:line="300" w:lineRule="auto"/>
        <w:jc w:val="left"/>
      </w:pPr>
      <w:r>
        <w:rPr>
          <w:rFonts w:ascii="Times New Roman" w:hAnsi="Times New Roman" w:eastAsia="黑体"/>
          <w:b/>
          <w:sz w:val="21"/>
        </w:rPr>
        <w:t>1.2  传统脱硫控制系统存在的问题</w:t>
      </w:r>
    </w:p>
    <w:p>
      <w:pPr>
        <w:spacing w:before="0" w:after="0" w:line="300" w:lineRule="auto"/>
        <w:ind w:firstLine="420"/>
        <w:jc w:val="both"/>
      </w:pPr>
      <w:r>
        <w:rPr>
          <w:rFonts w:ascii="Times New Roman" w:hAnsi="Times New Roman" w:eastAsia="宋体"/>
          <w:b w:val="0"/>
          <w:sz w:val="21"/>
        </w:rPr>
        <w:t>在iFGD智慧脱硫优化系统投入运行前，江阴利港电厂#9、#10机组的脱硫控制系统存在以下突出问题：</w:t>
      </w:r>
    </w:p>
    <w:p>
      <w:pPr>
        <w:spacing w:before="0" w:after="0" w:line="300" w:lineRule="auto"/>
        <w:ind w:firstLine="420"/>
        <w:jc w:val="both"/>
      </w:pPr>
      <w:r>
        <w:rPr>
          <w:rFonts w:ascii="Times New Roman" w:hAnsi="Times New Roman" w:eastAsia="宋体"/>
          <w:b w:val="0"/>
          <w:sz w:val="21"/>
        </w:rPr>
        <w:t>（1）控制方式落后。脱硫系统控制采用人工操作模式，运行人员手动启动浆液循环泵、手动控制供浆调节阀开度来调节供浆流量。整个脱硫过程的控制品质完全依赖于操作人员的经验和责任心，缺乏一致性和可复现性。</w:t>
      </w:r>
    </w:p>
    <w:p>
      <w:pPr>
        <w:spacing w:before="0" w:after="0" w:line="300" w:lineRule="auto"/>
        <w:ind w:firstLine="420"/>
        <w:jc w:val="both"/>
      </w:pPr>
      <w:r>
        <w:rPr>
          <w:rFonts w:ascii="Times New Roman" w:hAnsi="Times New Roman" w:eastAsia="宋体"/>
          <w:b w:val="0"/>
          <w:sz w:val="21"/>
        </w:rPr>
        <w:t>（2）出口SO₂浓度未实现闭环控制。脱硫系统出口SO₂浓度作为最核心的环保指标，其控制仍停留在开环手动调节层面，没有形成"测量-决策-执行"的自动闭环。这是导致控制精度不高、波动较大的根本原因。</w:t>
      </w:r>
    </w:p>
    <w:p>
      <w:pPr>
        <w:spacing w:before="0" w:after="0" w:line="300" w:lineRule="auto"/>
        <w:ind w:firstLine="420"/>
        <w:jc w:val="both"/>
      </w:pPr>
      <w:r>
        <w:rPr>
          <w:rFonts w:ascii="Times New Roman" w:hAnsi="Times New Roman" w:eastAsia="宋体"/>
          <w:b w:val="0"/>
          <w:sz w:val="21"/>
        </w:rPr>
        <w:t>（3）过度保守运行导致能耗偏高。由于缺乏有效的闭环控制手段，运行人员为保证环保排放达标，往往会将出口SO₂浓度控制在远低于排放限值的水平，这种保守策略虽然降低了超标风险，但导致了石灰石浆液过量投加和浆液循环泵高负荷运行，造成了严重的资源浪费和能源消耗。</w:t>
      </w:r>
    </w:p>
    <w:p>
      <w:pPr>
        <w:spacing w:before="0" w:after="0" w:line="300" w:lineRule="auto"/>
        <w:ind w:firstLine="420"/>
        <w:jc w:val="both"/>
      </w:pPr>
      <w:r>
        <w:rPr>
          <w:rFonts w:ascii="Times New Roman" w:hAnsi="Times New Roman" w:eastAsia="宋体"/>
          <w:b w:val="0"/>
          <w:sz w:val="21"/>
        </w:rPr>
        <w:t>（4）超标风险不容忽视。在负荷快速变化、煤质波动等工况扰动下，手动控制模式响应滞后，出口SO₂浓度容易被冲高甚至超标。特别是在超低排放电价补贴政策下，小时均值超标不仅意味着电价补贴损失，还会影响企业的社会形象。</w:t>
      </w:r>
    </w:p>
    <w:p>
      <w:pPr>
        <w:spacing w:before="0" w:after="0" w:line="300" w:lineRule="auto"/>
        <w:ind w:firstLine="420"/>
        <w:jc w:val="both"/>
      </w:pPr>
      <w:r>
        <w:rPr>
          <w:rFonts w:ascii="Times New Roman" w:hAnsi="Times New Roman" w:eastAsia="宋体"/>
          <w:b w:val="0"/>
          <w:sz w:val="21"/>
        </w:rPr>
        <w:t>（5）运行人员劳动强度大。由于需要持续监控DCS画面上的各项参数并频繁进行手动调节操作，运行人员的精神压力和工作强度很大，容易产生疲劳，进一步增加了误操作的风险。</w:t>
      </w:r>
    </w:p>
    <w:p>
      <w:pPr>
        <w:spacing w:before="0" w:after="0" w:line="300" w:lineRule="auto"/>
        <w:ind w:firstLine="420"/>
        <w:jc w:val="both"/>
      </w:pPr>
      <w:r>
        <w:rPr>
          <w:rFonts w:ascii="Times New Roman" w:hAnsi="Times New Roman" w:eastAsia="宋体"/>
          <w:b w:val="0"/>
          <w:sz w:val="21"/>
        </w:rPr>
        <w:t>（6）氧化风控制粗放。氧化风机控制同样采用人工操作模式，运行人员为保证氧化反应效果，通常会过量供风。这不仅显著增加了脱硫系统的电耗，还会导致浆液泡沫增多，引发浆液溢流等问题，影响系统的安全稳定运行。</w:t>
      </w:r>
    </w:p>
    <w:p>
      <w:pPr>
        <w:spacing w:before="60" w:after="40" w:line="300" w:lineRule="auto"/>
        <w:jc w:val="left"/>
      </w:pPr>
      <w:r>
        <w:rPr>
          <w:rFonts w:ascii="Times New Roman" w:hAnsi="Times New Roman" w:eastAsia="黑体"/>
          <w:b/>
          <w:sz w:val="21"/>
        </w:rPr>
        <w:t>1.3  智慧脱硫系统建设目标</w:t>
      </w:r>
    </w:p>
    <w:p>
      <w:pPr>
        <w:spacing w:before="0" w:after="0" w:line="300" w:lineRule="auto"/>
        <w:ind w:firstLine="420"/>
        <w:jc w:val="both"/>
      </w:pPr>
      <w:r>
        <w:rPr>
          <w:rFonts w:ascii="Times New Roman" w:hAnsi="Times New Roman" w:eastAsia="宋体"/>
          <w:b w:val="0"/>
          <w:sz w:val="21"/>
        </w:rPr>
        <w:t>针对上述问题，江阴利港电厂启动了智慧脱硫控制系统建设项目，设定了明确的热态验收目标：（1）实现脱硫系统吸收塔pH值、出口SO₂浓度的设定值可调闭环控制，以及氧化风量的合理控制，使运行人员能够像操作"自动驾驶"一样方便地管理脱硫系统；（2）在智慧脱硫优化系统运行期间，自动投入率不低于99.9%，确保系统能够长期连续稳定运行；（3）服务器负荷率不大于40%，保证控制系统本身不会对现有DCS系统造成额外负担；（4）在智慧脱硫优化系统运行期间，脱硫出口SO₂波动范围不超过±5 mg/Nm³，吸收塔pH值波动范围不超过±0.2。</w:t>
      </w:r>
    </w:p>
    <w:p>
      <w:pPr>
        <w:spacing w:before="180" w:after="60" w:line="300" w:lineRule="auto"/>
        <w:jc w:val="left"/>
      </w:pPr>
      <w:r>
        <w:rPr>
          <w:rFonts w:ascii="Times New Roman" w:hAnsi="Times New Roman" w:eastAsia="黑体"/>
          <w:b/>
          <w:sz w:val="24"/>
        </w:rPr>
        <w:t>2  iFGD智慧脱硫系统技术架构与核心算法</w:t>
      </w:r>
    </w:p>
    <w:p>
      <w:pPr>
        <w:spacing w:before="60" w:after="40" w:line="300" w:lineRule="auto"/>
        <w:jc w:val="left"/>
      </w:pPr>
      <w:r>
        <w:rPr>
          <w:rFonts w:ascii="Times New Roman" w:hAnsi="Times New Roman" w:eastAsia="黑体"/>
          <w:b/>
          <w:sz w:val="21"/>
        </w:rPr>
        <w:t>2.1  系统总体架构</w:t>
      </w:r>
    </w:p>
    <w:p>
      <w:pPr>
        <w:spacing w:before="0" w:after="0" w:line="300" w:lineRule="auto"/>
        <w:ind w:firstLine="420"/>
        <w:jc w:val="both"/>
      </w:pPr>
      <w:r>
        <w:rPr>
          <w:rFonts w:ascii="Times New Roman" w:hAnsi="Times New Roman" w:eastAsia="宋体"/>
          <w:b w:val="0"/>
          <w:sz w:val="21"/>
        </w:rPr>
        <w:t>iFGD系统采用外挂式架构设计，这一设计理念的核心原则是：在任何情况下都不影响现有DCS系统的安全性和稳定性。系统通过标准的MODBUS协议与电厂DCS系统实现双向通讯，既可以从DCS采集所需的过程变量实时数据，也可以将优化控制指令安全地传输给DCS执行。</w:t>
      </w:r>
    </w:p>
    <w:p>
      <w:pPr>
        <w:spacing w:before="0" w:after="0" w:line="300" w:lineRule="auto"/>
        <w:ind w:firstLine="420"/>
        <w:jc w:val="both"/>
      </w:pPr>
      <w:r>
        <w:rPr>
          <w:rFonts w:ascii="Times New Roman" w:hAnsi="Times New Roman" w:eastAsia="宋体"/>
          <w:b w:val="0"/>
          <w:sz w:val="21"/>
        </w:rPr>
        <w:t>iFGD系统由三大核心模块组成：（1）数据采集与通讯模块。该模块负责通过MODBUS/OPC协议从DCS系统实时采集脱硫过程的关键参数，包括入口/出口SO₂浓度、烟气量、浆液循环泵电流、供浆流量、吸收塔pH值、机组负荷等。同时，该模块将控制器计算出的最优操作值进行严格的数据校验和平滑处理后，通过MODBUS协议写入DCS系统执行。（2）智能控制算法模块。这是iFGD系统的核心，集成了广义预测控制（GPC）算法、多变量动态关联模型、浆液循环泵组合优化算法和氧化风量智能寻优算法。该模块通过对脱硫FGD过程进行实时动态建模，建立多变量动态关联模型，并基于该模型进行每时每刻的优化控制，保证脱硫控制品质。（3）可视化监控模块。系统提供了丰富的可视化和组态功能，包括运行参数实时显示、实时/历史趋势曲线、控制性能在线评估、经济指标实时统计、时均值统计分析等界面。系统还基于influxDB数据库实现了历史数据存储统计与能耗自动建模功能。</w:t>
      </w:r>
    </w:p>
    <w:p>
      <w:pPr>
        <w:spacing w:before="60" w:after="40" w:line="300" w:lineRule="auto"/>
        <w:jc w:val="left"/>
      </w:pPr>
      <w:r>
        <w:rPr>
          <w:rFonts w:ascii="Times New Roman" w:hAnsi="Times New Roman" w:eastAsia="黑体"/>
          <w:b/>
          <w:sz w:val="21"/>
        </w:rPr>
        <w:t>2.2  广义预测控制（GPC）算法</w:t>
      </w:r>
    </w:p>
    <w:p>
      <w:pPr>
        <w:spacing w:before="0" w:after="0" w:line="300" w:lineRule="auto"/>
        <w:ind w:firstLine="420"/>
        <w:jc w:val="both"/>
      </w:pPr>
      <w:r>
        <w:rPr>
          <w:rFonts w:ascii="Times New Roman" w:hAnsi="Times New Roman" w:eastAsia="宋体"/>
          <w:b w:val="0"/>
          <w:sz w:val="21"/>
        </w:rPr>
        <w:t>广义预测控制（GPC）是iFGD系统的核心算法，用于解决脱硫吸收塔pH值这一关键参数的控制问题。湿法脱硫过程中，吸收塔浆液pH值对脱硫效率有决定性影响，但pH值对供浆流量的响应具有明显的大滞后、大惯性和慢动态特性，传统的PID控制器很难获得理想的控制效果。</w:t>
      </w:r>
    </w:p>
    <w:p>
      <w:pPr>
        <w:spacing w:before="0" w:after="0" w:line="300" w:lineRule="auto"/>
        <w:ind w:firstLine="420"/>
        <w:jc w:val="both"/>
      </w:pPr>
      <w:r>
        <w:rPr>
          <w:rFonts w:ascii="Times New Roman" w:hAnsi="Times New Roman" w:eastAsia="宋体"/>
          <w:b w:val="0"/>
          <w:sz w:val="21"/>
        </w:rPr>
        <w:t>GPC算法采用受控自回归积分滑动平均（CARIMA）模型来描述脱硫过程的动态特性。该模型可以表示为：A(q⁻¹)yₜ = B(q⁻¹)uₜ₋d + ξₜ/Δ，其中yₜ为系统输出（如pH值或SO₂浓度），uₜ为控制量（如供浆阀门开度），ξₜ为随机噪声，Δ为差分算子，d为系统纯时延步数。</w:t>
      </w:r>
    </w:p>
    <w:p>
      <w:pPr>
        <w:spacing w:before="0" w:after="0" w:line="300" w:lineRule="auto"/>
        <w:ind w:firstLine="420"/>
        <w:jc w:val="both"/>
      </w:pPr>
      <w:r>
        <w:rPr>
          <w:rFonts w:ascii="Times New Roman" w:hAnsi="Times New Roman" w:eastAsia="宋体"/>
          <w:b w:val="0"/>
          <w:sz w:val="21"/>
        </w:rPr>
        <w:t>GPC算法的核心机制包括三步：第一，多步预测。基于CARIMA模型和Diophantine方程递推求解，预测未来N个时刻的系统输出值。通过递推算法，只需一次辨识得到模型参数后即可递推获得所有预测步长所需的多项式系数，大大降低了在线计算量。第二，滚动优化。定义包含预测偏差和控制增量的目标函数，通过在线求解优化问题获得当前时刻的最优控制量。采用柔化跟踪轨迹技术（柔化因子α在0~1之间），使设定值变化平缓，避免控制量剧烈波动，保证系统的平稳运行。第三，反馈校正。利用实际系统的实时反馈信息对预测模型进行校正，补偿模型不确定性和外部扰动，并根据系统状态变化动态调整模型参数或控制策略。</w:t>
      </w:r>
    </w:p>
    <w:p>
      <w:pPr>
        <w:spacing w:before="0" w:after="0" w:line="300" w:lineRule="auto"/>
        <w:ind w:firstLine="420"/>
        <w:jc w:val="both"/>
      </w:pPr>
      <w:r>
        <w:rPr>
          <w:rFonts w:ascii="Times New Roman" w:hAnsi="Times New Roman" w:eastAsia="宋体"/>
          <w:b w:val="0"/>
          <w:sz w:val="21"/>
        </w:rPr>
        <w:t>GPC算法的工程优势体现在：计算快速、鲁棒性强，能够在满足吸收剂流量、反应温度等实际约束条件下，找到最优的控制输入。此外，系统还设计了基于pH值、烟气温度、石灰石量等因素的模型在线修正功能，进一步提升了算法的适应性和控制品质。</w:t>
      </w:r>
    </w:p>
    <w:p>
      <w:pPr>
        <w:spacing w:before="60" w:after="40" w:line="300" w:lineRule="auto"/>
        <w:jc w:val="left"/>
      </w:pPr>
      <w:r>
        <w:rPr>
          <w:rFonts w:ascii="Times New Roman" w:hAnsi="Times New Roman" w:eastAsia="黑体"/>
          <w:b/>
          <w:sz w:val="21"/>
        </w:rPr>
        <w:t>2.3  多变量协同优化控制策略</w:t>
      </w:r>
    </w:p>
    <w:p>
      <w:pPr>
        <w:spacing w:before="0" w:after="0" w:line="300" w:lineRule="auto"/>
        <w:ind w:firstLine="420"/>
        <w:jc w:val="both"/>
      </w:pPr>
      <w:r>
        <w:rPr>
          <w:rFonts w:ascii="Times New Roman" w:hAnsi="Times New Roman" w:eastAsia="宋体"/>
          <w:b w:val="0"/>
          <w:sz w:val="21"/>
        </w:rPr>
        <w:t>湿法脱硫系统是一个典型的多变量耦合系统，入口SO₂浓度、烟气量、浆液循环泵组合、供浆流量、pH值、氧化风量等参数之间存在复杂的非线性耦合关系。iFGD系统采用多变量最优控制方法，实现了这些参数的协同优化控制。</w:t>
      </w:r>
    </w:p>
    <w:p>
      <w:pPr>
        <w:spacing w:before="0" w:after="0" w:line="300" w:lineRule="auto"/>
        <w:ind w:firstLine="420"/>
        <w:jc w:val="both"/>
      </w:pPr>
      <w:r>
        <w:rPr>
          <w:rFonts w:ascii="Times New Roman" w:hAnsi="Times New Roman" w:eastAsia="宋体"/>
          <w:b w:val="0"/>
          <w:sz w:val="21"/>
        </w:rPr>
        <w:t>系统首先基于湿法脱硫装置的物料平衡机理分析，建立脱硫系统SO₂排放指标与运行参数的物料衡算模型和动态控制模型。该模型综合考虑了入口SO₂浓度、锅炉负荷、风量、磨组合状态等多维输入，以及出口SO₂浓度、石灰石浆液流量、循泵组合、氧化风量、脱硫电耗等多维输出之间的耦合关系。</w:t>
      </w:r>
    </w:p>
    <w:p>
      <w:pPr>
        <w:spacing w:before="0" w:after="0" w:line="300" w:lineRule="auto"/>
        <w:ind w:firstLine="420"/>
        <w:jc w:val="both"/>
      </w:pPr>
      <w:r>
        <w:rPr>
          <w:rFonts w:ascii="Times New Roman" w:hAnsi="Times New Roman" w:eastAsia="宋体"/>
          <w:b w:val="0"/>
          <w:sz w:val="21"/>
        </w:rPr>
        <w:t>在此基础上，系统实现了以下协同优化功能：（1）供浆流量与pH值的协同控制。通过GPC算法实时优化石灰石供浆流量，同时考虑吸收塔浆液pH值的变化，实现pH值与出口SO₂浓度的协同优化控制，确保在满足环保排放要求的前提下，减少石灰石浆液的消耗。（2）浆液循环泵组合的优化运行。建立浆液循环泵的前馈最优控制方法，以能耗最优为目标，结合机组负荷、入口SO₂浓度等参数，计算最优的循环泵运行组合方案。系统通过画面右上角的提示信息（如"建议增加循环泵"或"建议减少循环泵"）指导运行人员进行启停泵操作。（3）氧化风量的智能调节。建立以脱硫系统进口烟气量、脱硫效率等为输入，氧化风机出口风量为优化运行参数的模型，采用智能算法进行出口风量寻优，在保证氧化反应效果的前提下，将氧化风量控制在合理范围内，降低能耗并避免浆液溢流等问题。（4）多目标动态寻优。建立机理与数据驱动融合的脱硫系统能耗模型，综合考虑脱硫运行工况、运行成本等因素，实现脱硫运行方式的多目标动态寻优。</w:t>
      </w:r>
    </w:p>
    <w:p>
      <w:pPr>
        <w:spacing w:before="60" w:after="40" w:line="300" w:lineRule="auto"/>
        <w:jc w:val="left"/>
      </w:pPr>
      <w:r>
        <w:rPr>
          <w:rFonts w:ascii="Times New Roman" w:hAnsi="Times New Roman" w:eastAsia="黑体"/>
          <w:b/>
          <w:sz w:val="21"/>
        </w:rPr>
        <w:t>2.4  时序多层控制架构</w:t>
      </w:r>
    </w:p>
    <w:p>
      <w:pPr>
        <w:spacing w:before="0" w:after="0" w:line="300" w:lineRule="auto"/>
        <w:ind w:firstLine="420"/>
        <w:jc w:val="both"/>
      </w:pPr>
      <w:r>
        <w:rPr>
          <w:rFonts w:ascii="Times New Roman" w:hAnsi="Times New Roman" w:eastAsia="宋体"/>
          <w:b w:val="0"/>
          <w:sz w:val="21"/>
        </w:rPr>
        <w:t>针对火电机组超低排放考核中"小时均值"这一关键指标，iFGD系统创新性地采用了时序多层控制架构。该架构分为上下两层：上层负责控制出口SO₂浓度的小时均值。系统通过程序实时计算自整点开始的累积小时均值，并根据当前均值与目标值之间的偏差，动态评估超标风险。当预测到可能存在小时均值超标风险时，上层自动输出设定值修正指令，适时调整下层控制器的SO₂浓度设定值，将超标风险消除在萌芽状态。下层负责控制出口SO₂浓度的实时值。这一层基于GPC算法，追踪上层给出的优化设定值，通过精确调节供浆流量实现出口SO₂浓度的精细控制。下层的控制品质直接决定了实时排放浓度的稳定性，为上层的小时均值控制奠定了坚实基础。</w:t>
      </w:r>
    </w:p>
    <w:p>
      <w:pPr>
        <w:spacing w:before="0" w:after="0" w:line="300" w:lineRule="auto"/>
        <w:ind w:firstLine="420"/>
        <w:jc w:val="both"/>
      </w:pPr>
      <w:r>
        <w:rPr>
          <w:rFonts w:ascii="Times New Roman" w:hAnsi="Times New Roman" w:eastAsia="宋体"/>
          <w:b w:val="0"/>
          <w:sz w:val="21"/>
        </w:rPr>
        <w:t>这种时序多层控制架构的创新之处在于：它突破了传统控制思路仅关注瞬时值的局限，将环保考核核心指标"小时均值"直接纳入控制目标体系，从源头上避免了超标风险。同时，这种分层架构也避免了设定值频繁调整对下层控制器造成的扰动，保证了控制的平稳性。</w:t>
      </w:r>
    </w:p>
    <w:p>
      <w:pPr>
        <w:spacing w:before="60" w:after="40" w:line="300" w:lineRule="auto"/>
        <w:jc w:val="left"/>
      </w:pPr>
      <w:r>
        <w:rPr>
          <w:rFonts w:ascii="Times New Roman" w:hAnsi="Times New Roman" w:eastAsia="黑体"/>
          <w:b/>
          <w:sz w:val="21"/>
        </w:rPr>
        <w:t>2.5  三种运行控制模式</w:t>
      </w:r>
    </w:p>
    <w:p>
      <w:pPr>
        <w:spacing w:before="0" w:after="0" w:line="300" w:lineRule="auto"/>
        <w:ind w:firstLine="420"/>
        <w:jc w:val="both"/>
      </w:pPr>
      <w:r>
        <w:rPr>
          <w:rFonts w:ascii="Times New Roman" w:hAnsi="Times New Roman" w:eastAsia="宋体"/>
          <w:b w:val="0"/>
          <w:sz w:val="21"/>
        </w:rPr>
        <w:t>为适应不同的运行工况和需求场景，iFGD系统设计了三种控制模式，运行人员可根据实际情况灵活切换。SO₂模式（推荐默认模式）以净烟气SO₂浓度为控制目标，运行人员只需设置SO₂设定值，系统在设定的pH和供浆流量上下限范围内自动调整pH设定值和供浆量，适用于日常正常运行。pH模式以吸收塔pH值为控制目标，运行人员设置pH设定值，系统在供浆流量上下限范围内自动调整供浆量，适用于出口SO₂测量异常或调试/试验工况。流量模式以供浆流量为控制目标，运行人员设置流量设定值，系统自动调整供浆阀门开度，适用于调试或试验工况。三种控制模式的具体对比如表1所示。</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sz w:val="18"/>
              </w:rPr>
              <w:t>控制模式</w:t>
            </w:r>
          </w:p>
        </w:tc>
        <w:tc>
          <w:tcPr>
            <w:tcW w:type="dxa" w:w="2078"/>
          </w:tcPr>
          <w:p>
            <w:pPr>
              <w:jc w:val="center"/>
            </w:pPr>
            <w:r/>
            <w:r>
              <w:rPr>
                <w:rFonts w:ascii="Times New Roman" w:hAnsi="Times New Roman" w:eastAsia="黑体"/>
                <w:b/>
                <w:sz w:val="18"/>
              </w:rPr>
              <w:t>控制目标</w:t>
            </w:r>
          </w:p>
        </w:tc>
        <w:tc>
          <w:tcPr>
            <w:tcW w:type="dxa" w:w="2078"/>
          </w:tcPr>
          <w:p>
            <w:pPr>
              <w:jc w:val="center"/>
            </w:pPr>
            <w:r/>
            <w:r>
              <w:rPr>
                <w:rFonts w:ascii="Times New Roman" w:hAnsi="Times New Roman" w:eastAsia="黑体"/>
                <w:b/>
                <w:sz w:val="18"/>
              </w:rPr>
              <w:t>工作原理</w:t>
            </w:r>
          </w:p>
        </w:tc>
        <w:tc>
          <w:tcPr>
            <w:tcW w:type="dxa" w:w="2078"/>
          </w:tcPr>
          <w:p>
            <w:pPr>
              <w:jc w:val="center"/>
            </w:pPr>
            <w:r/>
            <w:r>
              <w:rPr>
                <w:rFonts w:ascii="Times New Roman" w:hAnsi="Times New Roman" w:eastAsia="黑体"/>
                <w:b/>
                <w:sz w:val="18"/>
              </w:rPr>
              <w:t>适用场景</w:t>
            </w:r>
          </w:p>
        </w:tc>
      </w:tr>
      <w:tr>
        <w:tc>
          <w:tcPr>
            <w:tcW w:type="dxa" w:w="2078"/>
          </w:tcPr>
          <w:p>
            <w:pPr>
              <w:jc w:val="left"/>
            </w:pPr>
            <w:r/>
            <w:r>
              <w:rPr>
                <w:rFonts w:ascii="Times New Roman" w:hAnsi="Times New Roman" w:eastAsia="宋体"/>
                <w:b w:val="0"/>
                <w:sz w:val="18"/>
              </w:rPr>
              <w:t>SO₂模式</w:t>
              <w:br/>
              <w:t>（推荐默认）</w:t>
            </w:r>
          </w:p>
        </w:tc>
        <w:tc>
          <w:tcPr>
            <w:tcW w:type="dxa" w:w="2078"/>
          </w:tcPr>
          <w:p>
            <w:pPr>
              <w:jc w:val="left"/>
            </w:pPr>
            <w:r/>
            <w:r>
              <w:rPr>
                <w:rFonts w:ascii="Times New Roman" w:hAnsi="Times New Roman" w:eastAsia="宋体"/>
                <w:b w:val="0"/>
                <w:sz w:val="18"/>
              </w:rPr>
              <w:t>净烟气SO₂浓度</w:t>
            </w:r>
          </w:p>
        </w:tc>
        <w:tc>
          <w:tcPr>
            <w:tcW w:type="dxa" w:w="2078"/>
          </w:tcPr>
          <w:p>
            <w:pPr>
              <w:jc w:val="left"/>
            </w:pPr>
            <w:r/>
            <w:r>
              <w:rPr>
                <w:rFonts w:ascii="Times New Roman" w:hAnsi="Times New Roman" w:eastAsia="宋体"/>
                <w:b w:val="0"/>
                <w:sz w:val="18"/>
              </w:rPr>
              <w:t>设置SO₂设定值，系统自动调整pH设定值和供浆量</w:t>
            </w:r>
          </w:p>
        </w:tc>
        <w:tc>
          <w:tcPr>
            <w:tcW w:type="dxa" w:w="2078"/>
          </w:tcPr>
          <w:p>
            <w:pPr>
              <w:jc w:val="left"/>
            </w:pPr>
            <w:r/>
            <w:r>
              <w:rPr>
                <w:rFonts w:ascii="Times New Roman" w:hAnsi="Times New Roman" w:eastAsia="宋体"/>
                <w:b w:val="0"/>
                <w:sz w:val="18"/>
              </w:rPr>
              <w:t>日常正常运行</w:t>
            </w:r>
          </w:p>
        </w:tc>
      </w:tr>
      <w:tr>
        <w:tc>
          <w:tcPr>
            <w:tcW w:type="dxa" w:w="2078"/>
          </w:tcPr>
          <w:p>
            <w:pPr>
              <w:jc w:val="left"/>
            </w:pPr>
            <w:r/>
            <w:r>
              <w:rPr>
                <w:rFonts w:ascii="Times New Roman" w:hAnsi="Times New Roman" w:eastAsia="宋体"/>
                <w:b w:val="0"/>
                <w:sz w:val="18"/>
              </w:rPr>
              <w:t>pH模式</w:t>
            </w:r>
          </w:p>
        </w:tc>
        <w:tc>
          <w:tcPr>
            <w:tcW w:type="dxa" w:w="2078"/>
          </w:tcPr>
          <w:p>
            <w:pPr>
              <w:jc w:val="left"/>
            </w:pPr>
            <w:r/>
            <w:r>
              <w:rPr>
                <w:rFonts w:ascii="Times New Roman" w:hAnsi="Times New Roman" w:eastAsia="宋体"/>
                <w:b w:val="0"/>
                <w:sz w:val="18"/>
              </w:rPr>
              <w:t>吸收塔pH值</w:t>
            </w:r>
          </w:p>
        </w:tc>
        <w:tc>
          <w:tcPr>
            <w:tcW w:type="dxa" w:w="2078"/>
          </w:tcPr>
          <w:p>
            <w:pPr>
              <w:jc w:val="left"/>
            </w:pPr>
            <w:r/>
            <w:r>
              <w:rPr>
                <w:rFonts w:ascii="Times New Roman" w:hAnsi="Times New Roman" w:eastAsia="宋体"/>
                <w:b w:val="0"/>
                <w:sz w:val="18"/>
              </w:rPr>
              <w:t>设置pH设定值，系统自动调整供浆量</w:t>
            </w:r>
          </w:p>
        </w:tc>
        <w:tc>
          <w:tcPr>
            <w:tcW w:type="dxa" w:w="2078"/>
          </w:tcPr>
          <w:p>
            <w:pPr>
              <w:jc w:val="left"/>
            </w:pPr>
            <w:r/>
            <w:r>
              <w:rPr>
                <w:rFonts w:ascii="Times New Roman" w:hAnsi="Times New Roman" w:eastAsia="宋体"/>
                <w:b w:val="0"/>
                <w:sz w:val="18"/>
              </w:rPr>
              <w:t>出口SO₂测量异常或调试工况</w:t>
            </w:r>
          </w:p>
        </w:tc>
      </w:tr>
      <w:tr>
        <w:tc>
          <w:tcPr>
            <w:tcW w:type="dxa" w:w="2078"/>
          </w:tcPr>
          <w:p>
            <w:pPr>
              <w:jc w:val="left"/>
            </w:pPr>
            <w:r/>
            <w:r>
              <w:rPr>
                <w:rFonts w:ascii="Times New Roman" w:hAnsi="Times New Roman" w:eastAsia="宋体"/>
                <w:b w:val="0"/>
                <w:sz w:val="18"/>
              </w:rPr>
              <w:t>流量模式</w:t>
            </w:r>
          </w:p>
        </w:tc>
        <w:tc>
          <w:tcPr>
            <w:tcW w:type="dxa" w:w="2078"/>
          </w:tcPr>
          <w:p>
            <w:pPr>
              <w:jc w:val="left"/>
            </w:pPr>
            <w:r/>
            <w:r>
              <w:rPr>
                <w:rFonts w:ascii="Times New Roman" w:hAnsi="Times New Roman" w:eastAsia="宋体"/>
                <w:b w:val="0"/>
                <w:sz w:val="18"/>
              </w:rPr>
              <w:t>供浆流量</w:t>
            </w:r>
          </w:p>
        </w:tc>
        <w:tc>
          <w:tcPr>
            <w:tcW w:type="dxa" w:w="2078"/>
          </w:tcPr>
          <w:p>
            <w:pPr>
              <w:jc w:val="left"/>
            </w:pPr>
            <w:r/>
            <w:r>
              <w:rPr>
                <w:rFonts w:ascii="Times New Roman" w:hAnsi="Times New Roman" w:eastAsia="宋体"/>
                <w:b w:val="0"/>
                <w:sz w:val="18"/>
              </w:rPr>
              <w:t>设置流量设定值，系统自动调整供浆阀门开度</w:t>
            </w:r>
          </w:p>
        </w:tc>
        <w:tc>
          <w:tcPr>
            <w:tcW w:type="dxa" w:w="2078"/>
          </w:tcPr>
          <w:p>
            <w:pPr>
              <w:jc w:val="left"/>
            </w:pPr>
            <w:r/>
            <w:r>
              <w:rPr>
                <w:rFonts w:ascii="Times New Roman" w:hAnsi="Times New Roman" w:eastAsia="宋体"/>
                <w:b w:val="0"/>
                <w:sz w:val="18"/>
              </w:rPr>
              <w:t>调试或试验工况</w:t>
            </w:r>
          </w:p>
        </w:tc>
      </w:tr>
    </w:tbl>
    <w:p>
      <w:pPr>
        <w:spacing w:before="0" w:after="60" w:line="300" w:lineRule="auto"/>
        <w:jc w:val="center"/>
      </w:pPr>
      <w:r>
        <w:rPr>
          <w:rFonts w:ascii="Times New Roman" w:hAnsi="Times New Roman" w:eastAsia="宋体"/>
          <w:b w:val="0"/>
          <w:sz w:val="18"/>
        </w:rPr>
        <w:t>表1  三种运行控制模式对比</w:t>
      </w:r>
    </w:p>
    <w:p>
      <w:pPr>
        <w:spacing w:before="60" w:after="40" w:line="300" w:lineRule="auto"/>
        <w:jc w:val="left"/>
      </w:pPr>
      <w:r>
        <w:rPr>
          <w:rFonts w:ascii="Times New Roman" w:hAnsi="Times New Roman" w:eastAsia="黑体"/>
          <w:b/>
          <w:sz w:val="21"/>
        </w:rPr>
        <w:t>2.6  安全策略与系统可靠性设计</w:t>
      </w:r>
    </w:p>
    <w:p>
      <w:pPr>
        <w:spacing w:before="0" w:after="0" w:line="300" w:lineRule="auto"/>
        <w:ind w:firstLine="420"/>
        <w:jc w:val="both"/>
      </w:pPr>
      <w:r>
        <w:rPr>
          <w:rFonts w:ascii="Times New Roman" w:hAnsi="Times New Roman" w:eastAsia="宋体"/>
          <w:b w:val="0"/>
          <w:sz w:val="21"/>
        </w:rPr>
        <w:t>为确保iFGD系统在任何情况下都不会对现有DCS系统的安全运行造成影响，系统设计了多层次的安全策略：（1）心跳信号机制。iFGD系统正常运行时持续向DCS系统发送心跳信号。当系统发生异常时（包括程序出错、通讯中断等），心跳信号停止，DCS系统自动切除所有iFGD控制输出，偏置平滑变化，确保无缝切换回原有控制模式。（2）数据验证与保护。对DCS采集过来的输入数据进行严格的数据验证和保护处理，确保异常数据不会对iFGD系统的运行产生影响。同时，对系统输出进行数据验证和平滑处理，保证控制输出不超过安全限值范围。（3）限值保护。在每个控制模式中，系统都设定了明确的安全限值，包括供浆流量的上下限、pH值的允许范围、控制器输出变化速率限制等，确保运行参数始终处于安全区间。（4）二次开发与组态功能。系统提供基于JSP语法的配置文件系统，支持非程序人员按照操作说明进行规则修改和功能配置。配置文件包括输入配置（自定义变量与MODBUS点名的映射）、逻辑运算（差分、滤波、IF语句等）和输出配置。同类型项目的配置文件除MODBUS参数外可重复使用，提高了系统的可维护性和适用性。</w:t>
      </w:r>
    </w:p>
    <w:p>
      <w:pPr>
        <w:spacing w:before="180" w:after="60" w:line="300" w:lineRule="auto"/>
        <w:jc w:val="left"/>
      </w:pPr>
      <w:r>
        <w:rPr>
          <w:rFonts w:ascii="Times New Roman" w:hAnsi="Times New Roman" w:eastAsia="黑体"/>
          <w:b/>
          <w:sz w:val="24"/>
        </w:rPr>
        <w:t>3  项目实施效果分析</w:t>
      </w:r>
    </w:p>
    <w:p>
      <w:pPr>
        <w:spacing w:before="60" w:after="40" w:line="300" w:lineRule="auto"/>
        <w:jc w:val="left"/>
      </w:pPr>
      <w:r>
        <w:rPr>
          <w:rFonts w:ascii="Times New Roman" w:hAnsi="Times New Roman" w:eastAsia="黑体"/>
          <w:b/>
          <w:sz w:val="21"/>
        </w:rPr>
        <w:t>3.1  稳态工况控制效果</w:t>
      </w:r>
    </w:p>
    <w:p>
      <w:pPr>
        <w:spacing w:before="0" w:after="0" w:line="300" w:lineRule="auto"/>
        <w:ind w:firstLine="420"/>
        <w:jc w:val="both"/>
      </w:pPr>
      <w:r>
        <w:rPr>
          <w:rFonts w:ascii="Times New Roman" w:hAnsi="Times New Roman" w:eastAsia="宋体"/>
          <w:b w:val="0"/>
          <w:sz w:val="21"/>
        </w:rPr>
        <w:t>在稳定负荷工况下，iFGD系统展现了优异的控制品质。以#9机组2026年3月6日0:00-6:00的连续运行为例：系统投入iFGD后，出口SO₂浓度设定值为8 mg/Nm³，实际平均值为8.2 mg/Nm³，与设定值的偏差仅为0.2 mg/Nm³，标准方差为3 mg/Nm³。这说明在稳态工况下，系统能够将出口SO₂浓度精确控制在设定值附近，且波动幅度极小。</w:t>
      </w:r>
    </w:p>
    <w:p>
      <w:pPr>
        <w:spacing w:before="0" w:after="0" w:line="300" w:lineRule="auto"/>
        <w:ind w:firstLine="420"/>
        <w:jc w:val="both"/>
      </w:pPr>
      <w:r>
        <w:rPr>
          <w:rFonts w:ascii="Times New Roman" w:hAnsi="Times New Roman" w:eastAsia="宋体"/>
          <w:b w:val="0"/>
          <w:sz w:val="21"/>
        </w:rPr>
        <w:t>值得注意的是，即使在入口SO₂浓度因煤质波动而发生变化的情况下，iFGD系统也能够通过快速调整供浆流量来抵消扰动的影响，始终保持出口SO₂浓度的稳定。这一能力在传统手动控制模式下是难以实现的。</w:t>
      </w:r>
    </w:p>
    <w:p>
      <w:pPr>
        <w:spacing w:before="60" w:after="40" w:line="300" w:lineRule="auto"/>
        <w:jc w:val="left"/>
      </w:pPr>
      <w:r>
        <w:rPr>
          <w:rFonts w:ascii="Times New Roman" w:hAnsi="Times New Roman" w:eastAsia="黑体"/>
          <w:b/>
          <w:sz w:val="21"/>
        </w:rPr>
        <w:t>3.2  变负荷工况控制效果</w:t>
      </w:r>
    </w:p>
    <w:p>
      <w:pPr>
        <w:spacing w:before="0" w:after="0" w:line="300" w:lineRule="auto"/>
        <w:ind w:firstLine="420"/>
        <w:jc w:val="both"/>
      </w:pPr>
      <w:r>
        <w:rPr>
          <w:rFonts w:ascii="Times New Roman" w:hAnsi="Times New Roman" w:eastAsia="宋体"/>
          <w:b w:val="0"/>
          <w:sz w:val="21"/>
        </w:rPr>
        <w:t>在实际运行中，火电机组经常需要根据电网调度指令进行负荷调整，这对脱硫系统的控制品质提出了严峻挑战。iFGD系统在AGC变负荷工况下的表现尤为突出。2026年3月18日06:00-9:00的AGC降负荷过程中，机组负荷从1000MW持续下降到400MW，负荷变化幅度达到60%。在这一过程中，出口SO₂浓度始终稳定控制在设定值±5 mg/Nm³以内，设定值为5 mg/Nm³，实际平均值为4.3 mg/Nm³，最大值为8.6 mg/Nm³，最小值为1.5 mg/Nm³，控制偏差完全在±5 mg/Nm³的目标范围内。2026年3月10日16:05-17:40的AGC升负荷过程中，负荷从310MW快速上升至810MW，负荷变化幅度超过500MW，出口SO₂浓度仍然稳定控制在设定值±5 mg/Nm³以内，设定值为10 mg/Nm³，实际平均值为11.2 mg/Nm³，最大值为13.4 mg/Nm³，最小值为7.8 mg/Nm³。</w:t>
      </w:r>
    </w:p>
    <w:p>
      <w:pPr>
        <w:spacing w:before="0" w:after="0" w:line="300" w:lineRule="auto"/>
        <w:ind w:firstLine="420"/>
        <w:jc w:val="both"/>
      </w:pPr>
      <w:r>
        <w:rPr>
          <w:rFonts w:ascii="Times New Roman" w:hAnsi="Times New Roman" w:eastAsia="宋体"/>
          <w:b w:val="0"/>
          <w:sz w:val="21"/>
        </w:rPr>
        <w:t>上述测试充分证明，iFGD系统在大幅度变负荷工况下仍然能够保持优异的控制品质。这得益于GPC算法的预测能力——它能够在扰动尚未影响到出口SO₂浓度之前就提前进行调节，有效克服了脱硫过程的大滞后特性。</w:t>
      </w:r>
    </w:p>
    <w:p>
      <w:pPr>
        <w:spacing w:before="60" w:after="40" w:line="300" w:lineRule="auto"/>
        <w:jc w:val="left"/>
      </w:pPr>
      <w:r>
        <w:rPr>
          <w:rFonts w:ascii="Times New Roman" w:hAnsi="Times New Roman" w:eastAsia="黑体"/>
          <w:b/>
          <w:sz w:val="21"/>
        </w:rPr>
        <w:t>3.3  设定值阶跃响应性能</w:t>
      </w:r>
    </w:p>
    <w:p>
      <w:pPr>
        <w:spacing w:before="0" w:after="0" w:line="300" w:lineRule="auto"/>
        <w:ind w:firstLine="420"/>
        <w:jc w:val="both"/>
      </w:pPr>
      <w:r>
        <w:rPr>
          <w:rFonts w:ascii="Times New Roman" w:hAnsi="Times New Roman" w:eastAsia="宋体"/>
          <w:b w:val="0"/>
          <w:sz w:val="21"/>
        </w:rPr>
        <w:t>设定值阶跃响应是衡量控制系统动态性能的重要指标。iFGD系统的设定值阶跃测试结果如下：测试一（2026年1月29日14:55），运行人员将出口SO₂浓度设定值从15 mg/Nm³下调至8 mg/Nm³，出口SO₂浓度实际值在35分钟后到达8 mg/Nm³，最低到达7.8 mg/Nm³，全程无超调现象，控制品质理想。测试二（2026年2月1日10:44），运行人员将出口SO₂浓度设定值从2 mg/Nm³上调至8 mg/Nm³，出口SO₂浓度实际值在40分钟后达到8 mg/Nm³，最高到达8.7 mg/Nm³，同样展现了良好的设定值跟踪性能。两组测试表明，iFGD系统能够在设定值改变后30-40分钟内完成过渡过程，超调量控制在1 mg/Nm³以内，充分满足了运行中对排放指标进行灵活调整的需求。</w:t>
      </w:r>
    </w:p>
    <w:p>
      <w:pPr>
        <w:spacing w:before="60" w:after="40" w:line="300" w:lineRule="auto"/>
        <w:jc w:val="left"/>
      </w:pPr>
      <w:r>
        <w:rPr>
          <w:rFonts w:ascii="Times New Roman" w:hAnsi="Times New Roman" w:eastAsia="黑体"/>
          <w:b/>
          <w:sz w:val="21"/>
        </w:rPr>
        <w:t>3.4  系统投运率与可靠性</w:t>
      </w:r>
    </w:p>
    <w:p>
      <w:pPr>
        <w:spacing w:before="0" w:after="0" w:line="300" w:lineRule="auto"/>
        <w:ind w:firstLine="420"/>
        <w:jc w:val="both"/>
      </w:pPr>
      <w:r>
        <w:rPr>
          <w:rFonts w:ascii="Times New Roman" w:hAnsi="Times New Roman" w:eastAsia="宋体"/>
          <w:b w:val="0"/>
          <w:sz w:val="21"/>
        </w:rPr>
        <w:t>根据实际运行数据统计，在2026年3月3日至3月10日的连续运行期间，#9机组iFGD系统除去因脱硫吸收塔浆液pH测量问题和原烟/净烟气SO₂标定等客观原因需要暂时切回手动外，其余时间自动投运率达到100%。同样，#10机组在2026年3月4日至3月9日的运行期间也取得了100%的投运率。这一数据远超项目设定的99.9%的目标值。在服务器负荷率方面，两台机组的iFGD服务器CPU负荷率均低于40%，满足项目目标要求，证明系统具有良好的计算效率和资源占用控制能力。</w:t>
      </w:r>
    </w:p>
    <w:p>
      <w:pPr>
        <w:spacing w:before="60" w:after="40" w:line="300" w:lineRule="auto"/>
        <w:jc w:val="left"/>
      </w:pPr>
      <w:r>
        <w:rPr>
          <w:rFonts w:ascii="Times New Roman" w:hAnsi="Times New Roman" w:eastAsia="黑体"/>
          <w:b/>
          <w:sz w:val="21"/>
        </w:rPr>
        <w:t>3.5  可视化与经济指标评估</w:t>
      </w:r>
    </w:p>
    <w:p>
      <w:pPr>
        <w:spacing w:before="0" w:after="0" w:line="300" w:lineRule="auto"/>
        <w:ind w:firstLine="420"/>
        <w:jc w:val="both"/>
      </w:pPr>
      <w:r>
        <w:rPr>
          <w:rFonts w:ascii="Times New Roman" w:hAnsi="Times New Roman" w:eastAsia="宋体"/>
          <w:b w:val="0"/>
          <w:sz w:val="21"/>
        </w:rPr>
        <w:t>iFGD系统提供了丰富的可视化功能，极大地方便了运行人员对系统状态的掌握和控制效果的评估。可视化控制性能评估界面实时显示了两大控制回路（SO₂浓度控制和浆液pH值控制）的运行信息，包括设定值、实际值、偏差、控制输出等关键参数。经济指标实时评估统计界面是本项目的一个重要创新。该界面可以实时计算和展示脱硫系统的能耗相关指标，包括石灰石消耗量、脱硫电耗、单位脱硫成本等关键经济参数。时均值统计分析界面则展示了各个参数在当天各小时的平均值分布情况，帮助运行人员了解系统在全天不同时段的运行表现，发现潜在的优化空间。这些功能为运行管理提供了直观、量化的决策支持，实现了"看得见"的节能降耗。</w:t>
      </w:r>
    </w:p>
    <w:p>
      <w:pPr>
        <w:spacing w:before="60" w:after="40" w:line="300" w:lineRule="auto"/>
        <w:jc w:val="left"/>
      </w:pPr>
      <w:r>
        <w:rPr>
          <w:rFonts w:ascii="Times New Roman" w:hAnsi="Times New Roman" w:eastAsia="黑体"/>
          <w:b/>
          <w:sz w:val="21"/>
        </w:rPr>
        <w:t>3.6  综合效益分析</w:t>
      </w:r>
    </w:p>
    <w:p>
      <w:pPr>
        <w:spacing w:before="40" w:after="20" w:line="300" w:lineRule="auto"/>
        <w:jc w:val="left"/>
      </w:pPr>
      <w:r>
        <w:rPr>
          <w:rFonts w:ascii="Times New Roman" w:hAnsi="Times New Roman" w:eastAsia="宋体"/>
          <w:b w:val="0"/>
          <w:sz w:val="21"/>
        </w:rPr>
        <w:t>3.6.1  经济效益</w:t>
      </w:r>
    </w:p>
    <w:p>
      <w:pPr>
        <w:spacing w:before="0" w:after="0" w:line="300" w:lineRule="auto"/>
        <w:ind w:firstLine="420"/>
        <w:jc w:val="both"/>
      </w:pPr>
      <w:r>
        <w:rPr>
          <w:rFonts w:ascii="Times New Roman" w:hAnsi="Times New Roman" w:eastAsia="宋体"/>
          <w:b w:val="0"/>
          <w:sz w:val="21"/>
        </w:rPr>
        <w:t>iFGD系统的经济效益主要体现在四个方面：一是石灰石消耗量的降低，通过GPC精确控制供浆流量，避免了传统手动控制下的过量投加，石灰石粉的消耗量明显下降。二是脱硫系统电耗的减少，浆液循环泵组合优化运行和氧化风量智能调节直接减少了高能耗设备的运行时间和负荷，电耗指标显著改善。三是环保超标风险的消除，闭环控制从根本上避免了排放超标事件的发生，确保了超低排放电价补贴的全额获取。四是运行维护成本的降低，自动化程度的提高减少了人工干预频率，设备运行更加平稳，延长了设备的使用寿命。</w:t>
      </w:r>
    </w:p>
    <w:p>
      <w:pPr>
        <w:spacing w:before="40" w:after="20" w:line="300" w:lineRule="auto"/>
        <w:jc w:val="left"/>
      </w:pPr>
      <w:r>
        <w:rPr>
          <w:rFonts w:ascii="Times New Roman" w:hAnsi="Times New Roman" w:eastAsia="宋体"/>
          <w:b w:val="0"/>
          <w:sz w:val="21"/>
        </w:rPr>
        <w:t>3.6.2  环保效益</w:t>
      </w:r>
    </w:p>
    <w:p>
      <w:pPr>
        <w:spacing w:before="0" w:after="0" w:line="300" w:lineRule="auto"/>
        <w:ind w:firstLine="420"/>
        <w:jc w:val="both"/>
      </w:pPr>
      <w:r>
        <w:rPr>
          <w:rFonts w:ascii="Times New Roman" w:hAnsi="Times New Roman" w:eastAsia="宋体"/>
          <w:b w:val="0"/>
          <w:sz w:val="21"/>
        </w:rPr>
        <w:t>iFGD系统通过精确控制出口SO₂浓度，确保了超低排放的稳定达标。小时均值的可控性消除了超标风险，使企业在环保合规方面有了可靠的技术保障。同时，由于石灰石消耗量的降低，也间接减少了石灰石开采、破碎和运输过程中的能源消耗和碳排放，具有良好的环保协同效益，符合"双碳"战略的方向要求。</w:t>
      </w:r>
    </w:p>
    <w:p>
      <w:pPr>
        <w:spacing w:before="40" w:after="20" w:line="300" w:lineRule="auto"/>
        <w:jc w:val="left"/>
      </w:pPr>
      <w:r>
        <w:rPr>
          <w:rFonts w:ascii="Times New Roman" w:hAnsi="Times New Roman" w:eastAsia="宋体"/>
          <w:b w:val="0"/>
          <w:sz w:val="21"/>
        </w:rPr>
        <w:t>3.6.3  社会效益</w:t>
      </w:r>
    </w:p>
    <w:p>
      <w:pPr>
        <w:spacing w:before="0" w:after="0" w:line="300" w:lineRule="auto"/>
        <w:ind w:firstLine="420"/>
        <w:jc w:val="both"/>
      </w:pPr>
      <w:r>
        <w:rPr>
          <w:rFonts w:ascii="Times New Roman" w:hAnsi="Times New Roman" w:eastAsia="宋体"/>
          <w:b w:val="0"/>
          <w:sz w:val="21"/>
        </w:rPr>
        <w:t>智慧脱硫系统的实施带来了显著的社会效益。首先，运行人员的劳动强度大幅降低，从频繁的手动操作中解放出来，可以将更多精力投入到系统监控和优化调整上。其次，企业通过先进技术手段实现环保达标和节能降耗双赢，社会形象和市场竞争力得到增强。再次，该项目的成功为火电行业脱硫系统的智能化升级提供了可复制的解决方案，具有重要的行业示范和推广价值。</w:t>
      </w:r>
    </w:p>
    <w:p>
      <w:pPr>
        <w:spacing w:before="180" w:after="60" w:line="300" w:lineRule="auto"/>
        <w:jc w:val="left"/>
      </w:pPr>
      <w:r>
        <w:rPr>
          <w:rFonts w:ascii="Times New Roman" w:hAnsi="Times New Roman" w:eastAsia="黑体"/>
          <w:b/>
          <w:sz w:val="24"/>
        </w:rPr>
        <w:t>4  智慧脱硫技术优势与改良方向探讨</w:t>
      </w:r>
    </w:p>
    <w:p>
      <w:pPr>
        <w:spacing w:before="60" w:after="40" w:line="300" w:lineRule="auto"/>
        <w:jc w:val="left"/>
      </w:pPr>
      <w:r>
        <w:rPr>
          <w:rFonts w:ascii="Times New Roman" w:hAnsi="Times New Roman" w:eastAsia="黑体"/>
          <w:b/>
          <w:sz w:val="21"/>
        </w:rPr>
        <w:t>4.1  iFGD系统的核心优势分析</w:t>
      </w:r>
    </w:p>
    <w:p>
      <w:pPr>
        <w:spacing w:before="40" w:after="20" w:line="300" w:lineRule="auto"/>
        <w:jc w:val="left"/>
      </w:pPr>
      <w:r>
        <w:rPr>
          <w:rFonts w:ascii="Times New Roman" w:hAnsi="Times New Roman" w:eastAsia="宋体"/>
          <w:b w:val="0"/>
          <w:sz w:val="21"/>
        </w:rPr>
        <w:t>4.1.1  技术层面优势</w:t>
      </w:r>
    </w:p>
    <w:p>
      <w:pPr>
        <w:spacing w:before="0" w:after="0" w:line="300" w:lineRule="auto"/>
        <w:ind w:firstLine="420"/>
        <w:jc w:val="both"/>
      </w:pPr>
      <w:r>
        <w:rPr>
          <w:rFonts w:ascii="Times New Roman" w:hAnsi="Times New Roman" w:eastAsia="宋体"/>
          <w:b w:val="0"/>
          <w:sz w:val="21"/>
        </w:rPr>
        <w:t>iFGD系统在技术层面的核心优势体现在四个方面。第一，先进预测控制算法。GPC算法通过多步预测和滚动优化机制，有效克服了湿法脱硫过程的大滞后、大惯性难题。与PID控制器的"事后调节"不同，GPC能够在扰动影响输出之前就进行补偿调节，实现了真正的"事前控制"。第二，外挂式架构设计。系统不直接修改DCS内部逻辑，而是通过MODBUS通讯接口实现数据交互，最大程度地降低了对现有系统的安全风险。这种"即插即用"的设计理念使得系统可以在不影响机组运行的前提下完成安装和调试。第三，多变量协同优化。系统不再是孤立地调节单一参数，而是将pH值、供浆流量、循泵组合、氧化风量等多个关联参数纳入统一的优化框架，实现了从"局部最优"到"全局最优"的跨越。第四，时序多层控制。通过实时值控制和小时均值控制的双层架构，兼顾了短期排放稳定和长期考核达标，这一设计在工程实践中具有重要的创新价值。</w:t>
      </w:r>
    </w:p>
    <w:p>
      <w:pPr>
        <w:spacing w:before="40" w:after="20" w:line="300" w:lineRule="auto"/>
        <w:jc w:val="left"/>
      </w:pPr>
      <w:r>
        <w:rPr>
          <w:rFonts w:ascii="Times New Roman" w:hAnsi="Times New Roman" w:eastAsia="宋体"/>
          <w:b w:val="0"/>
          <w:sz w:val="21"/>
        </w:rPr>
        <w:t>4.1.2  运行层面优势</w:t>
      </w:r>
    </w:p>
    <w:p>
      <w:pPr>
        <w:spacing w:before="0" w:after="0" w:line="300" w:lineRule="auto"/>
        <w:ind w:firstLine="420"/>
        <w:jc w:val="both"/>
      </w:pPr>
      <w:r>
        <w:rPr>
          <w:rFonts w:ascii="Times New Roman" w:hAnsi="Times New Roman" w:eastAsia="宋体"/>
          <w:b w:val="0"/>
          <w:sz w:val="21"/>
        </w:rPr>
        <w:t>在运行层面，iFGD系统实现了"三个转变"：从人工操作到一键智能控制的转变、从经验驱动到数据驱动的转变、从被动响应到主动预测的转变。系统投运后，运行人员只需在DCS画面上点击"脱硫优化投入"按钮，系统即可自动完成全部控制任务，大幅降低了操作强度和技能门槛。可视化监控和经济指标评估功能使运行人员能够直观了解系统状态和运行效益。三种控制模式的灵活切换设计，既满足了日常稳定运行的需求，又为异常工况和调试工况提供了适配方案。</w:t>
      </w:r>
    </w:p>
    <w:p>
      <w:pPr>
        <w:spacing w:before="40" w:after="20" w:line="300" w:lineRule="auto"/>
        <w:jc w:val="left"/>
      </w:pPr>
      <w:r>
        <w:rPr>
          <w:rFonts w:ascii="Times New Roman" w:hAnsi="Times New Roman" w:eastAsia="宋体"/>
          <w:b w:val="0"/>
          <w:sz w:val="21"/>
        </w:rPr>
        <w:t>4.1.3  经济层面优势</w:t>
      </w:r>
    </w:p>
    <w:p>
      <w:pPr>
        <w:spacing w:before="0" w:after="0" w:line="300" w:lineRule="auto"/>
        <w:ind w:firstLine="420"/>
        <w:jc w:val="both"/>
      </w:pPr>
      <w:r>
        <w:rPr>
          <w:rFonts w:ascii="Times New Roman" w:hAnsi="Times New Roman" w:eastAsia="宋体"/>
          <w:b w:val="0"/>
          <w:sz w:val="21"/>
        </w:rPr>
        <w:t>iFGD系统的经济优势根植于其技术优势。精确控制→减少浪费→降低消耗→节约成本，这一逻辑链条贯穿于系统的各个环节。循环泵组合优化避免了不必要的设备投运，供浆量的精确控制减少了石灰石消耗，氧化风量的合理调节降低了风机电耗。同时，系统的高度可靠性（投运率接近100%）确保了这些经济效益可以持续获得，而非仅仅停留在试验阶段。</w:t>
      </w:r>
    </w:p>
    <w:p>
      <w:pPr>
        <w:spacing w:before="60" w:after="40" w:line="300" w:lineRule="auto"/>
        <w:jc w:val="left"/>
      </w:pPr>
      <w:r>
        <w:rPr>
          <w:rFonts w:ascii="Times New Roman" w:hAnsi="Times New Roman" w:eastAsia="黑体"/>
          <w:b/>
          <w:sz w:val="21"/>
        </w:rPr>
        <w:t>4.2  iFGD系统与传统PID控制的对比</w:t>
      </w:r>
    </w:p>
    <w:p>
      <w:pPr>
        <w:spacing w:before="0" w:after="0" w:line="300" w:lineRule="auto"/>
        <w:ind w:firstLine="420"/>
        <w:jc w:val="both"/>
      </w:pPr>
      <w:r>
        <w:rPr>
          <w:rFonts w:ascii="Times New Roman" w:hAnsi="Times New Roman" w:eastAsia="宋体"/>
          <w:b w:val="0"/>
          <w:sz w:val="21"/>
        </w:rPr>
        <w:t>为客观评价iFGD系统的技术先进性，将其与传统PID控制方案进行系统对比，结果如表2所示。</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黑体"/>
                <w:b/>
                <w:sz w:val="18"/>
              </w:rPr>
              <w:t>对比维度</w:t>
            </w:r>
          </w:p>
        </w:tc>
        <w:tc>
          <w:tcPr>
            <w:tcW w:type="dxa" w:w="2771"/>
          </w:tcPr>
          <w:p>
            <w:pPr>
              <w:jc w:val="center"/>
            </w:pPr>
            <w:r/>
            <w:r>
              <w:rPr>
                <w:rFonts w:ascii="Times New Roman" w:hAnsi="Times New Roman" w:eastAsia="黑体"/>
                <w:b/>
                <w:sz w:val="18"/>
              </w:rPr>
              <w:t>传统PID控制</w:t>
            </w:r>
          </w:p>
        </w:tc>
        <w:tc>
          <w:tcPr>
            <w:tcW w:type="dxa" w:w="2771"/>
          </w:tcPr>
          <w:p>
            <w:pPr>
              <w:jc w:val="center"/>
            </w:pPr>
            <w:r/>
            <w:r>
              <w:rPr>
                <w:rFonts w:ascii="Times New Roman" w:hAnsi="Times New Roman" w:eastAsia="黑体"/>
                <w:b/>
                <w:sz w:val="18"/>
              </w:rPr>
              <w:t>iFGD预测控制</w:t>
            </w:r>
          </w:p>
        </w:tc>
      </w:tr>
      <w:tr>
        <w:tc>
          <w:tcPr>
            <w:tcW w:type="dxa" w:w="2771"/>
          </w:tcPr>
          <w:p>
            <w:pPr>
              <w:jc w:val="left"/>
            </w:pPr>
            <w:r/>
            <w:r>
              <w:rPr>
                <w:rFonts w:ascii="Times New Roman" w:hAnsi="Times New Roman" w:eastAsia="宋体"/>
                <w:b w:val="0"/>
                <w:sz w:val="18"/>
              </w:rPr>
              <w:t>大滞后处理能力</w:t>
            </w:r>
          </w:p>
        </w:tc>
        <w:tc>
          <w:tcPr>
            <w:tcW w:type="dxa" w:w="2771"/>
          </w:tcPr>
          <w:p>
            <w:pPr>
              <w:jc w:val="left"/>
            </w:pPr>
            <w:r/>
            <w:r>
              <w:rPr>
                <w:rFonts w:ascii="Times New Roman" w:hAnsi="Times New Roman" w:eastAsia="宋体"/>
                <w:b w:val="0"/>
                <w:sz w:val="18"/>
              </w:rPr>
              <w:t>困难，易产生超调和振荡</w:t>
            </w:r>
          </w:p>
        </w:tc>
        <w:tc>
          <w:tcPr>
            <w:tcW w:type="dxa" w:w="2771"/>
          </w:tcPr>
          <w:p>
            <w:pPr>
              <w:jc w:val="left"/>
            </w:pPr>
            <w:r/>
            <w:r>
              <w:rPr>
                <w:rFonts w:ascii="Times New Roman" w:hAnsi="Times New Roman" w:eastAsia="宋体"/>
                <w:b w:val="0"/>
                <w:sz w:val="18"/>
              </w:rPr>
              <w:t>优秀，通过预测补偿实现平稳控制</w:t>
            </w:r>
          </w:p>
        </w:tc>
      </w:tr>
      <w:tr>
        <w:tc>
          <w:tcPr>
            <w:tcW w:type="dxa" w:w="2771"/>
          </w:tcPr>
          <w:p>
            <w:pPr>
              <w:jc w:val="left"/>
            </w:pPr>
            <w:r/>
            <w:r>
              <w:rPr>
                <w:rFonts w:ascii="Times New Roman" w:hAnsi="Times New Roman" w:eastAsia="宋体"/>
                <w:b w:val="0"/>
                <w:sz w:val="18"/>
              </w:rPr>
              <w:t>多变量耦合处理</w:t>
            </w:r>
          </w:p>
        </w:tc>
        <w:tc>
          <w:tcPr>
            <w:tcW w:type="dxa" w:w="2771"/>
          </w:tcPr>
          <w:p>
            <w:pPr>
              <w:jc w:val="left"/>
            </w:pPr>
            <w:r/>
            <w:r>
              <w:rPr>
                <w:rFonts w:ascii="Times New Roman" w:hAnsi="Times New Roman" w:eastAsia="宋体"/>
                <w:b w:val="0"/>
                <w:sz w:val="18"/>
              </w:rPr>
              <w:t>无法有效解耦，各回路相互干扰</w:t>
            </w:r>
          </w:p>
        </w:tc>
        <w:tc>
          <w:tcPr>
            <w:tcW w:type="dxa" w:w="2771"/>
          </w:tcPr>
          <w:p>
            <w:pPr>
              <w:jc w:val="left"/>
            </w:pPr>
            <w:r/>
            <w:r>
              <w:rPr>
                <w:rFonts w:ascii="Times New Roman" w:hAnsi="Times New Roman" w:eastAsia="宋体"/>
                <w:b w:val="0"/>
                <w:sz w:val="18"/>
              </w:rPr>
              <w:t>多变量协同优化，全局最优</w:t>
            </w:r>
          </w:p>
        </w:tc>
      </w:tr>
      <w:tr>
        <w:tc>
          <w:tcPr>
            <w:tcW w:type="dxa" w:w="2771"/>
          </w:tcPr>
          <w:p>
            <w:pPr>
              <w:jc w:val="left"/>
            </w:pPr>
            <w:r/>
            <w:r>
              <w:rPr>
                <w:rFonts w:ascii="Times New Roman" w:hAnsi="Times New Roman" w:eastAsia="宋体"/>
                <w:b w:val="0"/>
                <w:sz w:val="18"/>
              </w:rPr>
              <w:t>鲁棒性和适应性</w:t>
            </w:r>
          </w:p>
        </w:tc>
        <w:tc>
          <w:tcPr>
            <w:tcW w:type="dxa" w:w="2771"/>
          </w:tcPr>
          <w:p>
            <w:pPr>
              <w:jc w:val="left"/>
            </w:pPr>
            <w:r/>
            <w:r>
              <w:rPr>
                <w:rFonts w:ascii="Times New Roman" w:hAnsi="Times New Roman" w:eastAsia="宋体"/>
                <w:b w:val="0"/>
                <w:sz w:val="18"/>
              </w:rPr>
              <w:t>参数固定，工况变化时需重新整定</w:t>
            </w:r>
          </w:p>
        </w:tc>
        <w:tc>
          <w:tcPr>
            <w:tcW w:type="dxa" w:w="2771"/>
          </w:tcPr>
          <w:p>
            <w:pPr>
              <w:jc w:val="left"/>
            </w:pPr>
            <w:r/>
            <w:r>
              <w:rPr>
                <w:rFonts w:ascii="Times New Roman" w:hAnsi="Times New Roman" w:eastAsia="宋体"/>
                <w:b w:val="0"/>
                <w:sz w:val="18"/>
              </w:rPr>
              <w:t>模型在线修正，自适应能力强</w:t>
            </w:r>
          </w:p>
        </w:tc>
      </w:tr>
      <w:tr>
        <w:tc>
          <w:tcPr>
            <w:tcW w:type="dxa" w:w="2771"/>
          </w:tcPr>
          <w:p>
            <w:pPr>
              <w:jc w:val="left"/>
            </w:pPr>
            <w:r/>
            <w:r>
              <w:rPr>
                <w:rFonts w:ascii="Times New Roman" w:hAnsi="Times New Roman" w:eastAsia="宋体"/>
                <w:b w:val="0"/>
                <w:sz w:val="18"/>
              </w:rPr>
              <w:t>控制精度</w:t>
            </w:r>
          </w:p>
        </w:tc>
        <w:tc>
          <w:tcPr>
            <w:tcW w:type="dxa" w:w="2771"/>
          </w:tcPr>
          <w:p>
            <w:pPr>
              <w:jc w:val="left"/>
            </w:pPr>
            <w:r/>
            <w:r>
              <w:rPr>
                <w:rFonts w:ascii="Times New Roman" w:hAnsi="Times New Roman" w:eastAsia="宋体"/>
                <w:b w:val="0"/>
                <w:sz w:val="18"/>
              </w:rPr>
              <w:t>±10~15 mg/Nm³</w:t>
            </w:r>
          </w:p>
        </w:tc>
        <w:tc>
          <w:tcPr>
            <w:tcW w:type="dxa" w:w="2771"/>
          </w:tcPr>
          <w:p>
            <w:pPr>
              <w:jc w:val="left"/>
            </w:pPr>
            <w:r/>
            <w:r>
              <w:rPr>
                <w:rFonts w:ascii="Times New Roman" w:hAnsi="Times New Roman" w:eastAsia="宋体"/>
                <w:b w:val="0"/>
                <w:sz w:val="18"/>
              </w:rPr>
              <w:t>±5 mg/Nm³以内</w:t>
            </w:r>
          </w:p>
        </w:tc>
      </w:tr>
      <w:tr>
        <w:tc>
          <w:tcPr>
            <w:tcW w:type="dxa" w:w="2771"/>
          </w:tcPr>
          <w:p>
            <w:pPr>
              <w:jc w:val="left"/>
            </w:pPr>
            <w:r/>
            <w:r>
              <w:rPr>
                <w:rFonts w:ascii="Times New Roman" w:hAnsi="Times New Roman" w:eastAsia="宋体"/>
                <w:b w:val="0"/>
                <w:sz w:val="18"/>
              </w:rPr>
              <w:t>自动化程度</w:t>
            </w:r>
          </w:p>
        </w:tc>
        <w:tc>
          <w:tcPr>
            <w:tcW w:type="dxa" w:w="2771"/>
          </w:tcPr>
          <w:p>
            <w:pPr>
              <w:jc w:val="left"/>
            </w:pPr>
            <w:r/>
            <w:r>
              <w:rPr>
                <w:rFonts w:ascii="Times New Roman" w:hAnsi="Times New Roman" w:eastAsia="宋体"/>
                <w:b w:val="0"/>
                <w:sz w:val="18"/>
              </w:rPr>
              <w:t>需人工频繁干预调整</w:t>
            </w:r>
          </w:p>
        </w:tc>
        <w:tc>
          <w:tcPr>
            <w:tcW w:type="dxa" w:w="2771"/>
          </w:tcPr>
          <w:p>
            <w:pPr>
              <w:jc w:val="left"/>
            </w:pPr>
            <w:r/>
            <w:r>
              <w:rPr>
                <w:rFonts w:ascii="Times New Roman" w:hAnsi="Times New Roman" w:eastAsia="宋体"/>
                <w:b w:val="0"/>
                <w:sz w:val="18"/>
              </w:rPr>
              <w:t>全自动闭环运行，一键投入/切除</w:t>
            </w:r>
          </w:p>
        </w:tc>
      </w:tr>
      <w:tr>
        <w:tc>
          <w:tcPr>
            <w:tcW w:type="dxa" w:w="2771"/>
          </w:tcPr>
          <w:p>
            <w:pPr>
              <w:jc w:val="left"/>
            </w:pPr>
            <w:r/>
            <w:r>
              <w:rPr>
                <w:rFonts w:ascii="Times New Roman" w:hAnsi="Times New Roman" w:eastAsia="宋体"/>
                <w:b w:val="0"/>
                <w:sz w:val="18"/>
              </w:rPr>
              <w:t>对运行人员的要求</w:t>
            </w:r>
          </w:p>
        </w:tc>
        <w:tc>
          <w:tcPr>
            <w:tcW w:type="dxa" w:w="2771"/>
          </w:tcPr>
          <w:p>
            <w:pPr>
              <w:jc w:val="left"/>
            </w:pPr>
            <w:r/>
            <w:r>
              <w:rPr>
                <w:rFonts w:ascii="Times New Roman" w:hAnsi="Times New Roman" w:eastAsia="宋体"/>
                <w:b w:val="0"/>
                <w:sz w:val="18"/>
              </w:rPr>
              <w:t>需要丰富经验和持续关注</w:t>
            </w:r>
          </w:p>
        </w:tc>
        <w:tc>
          <w:tcPr>
            <w:tcW w:type="dxa" w:w="2771"/>
          </w:tcPr>
          <w:p>
            <w:pPr>
              <w:jc w:val="left"/>
            </w:pPr>
            <w:r/>
            <w:r>
              <w:rPr>
                <w:rFonts w:ascii="Times New Roman" w:hAnsi="Times New Roman" w:eastAsia="宋体"/>
                <w:b w:val="0"/>
                <w:sz w:val="18"/>
              </w:rPr>
              <w:t>操作简便，大幅降低技能门槛</w:t>
            </w:r>
          </w:p>
        </w:tc>
      </w:tr>
      <w:tr>
        <w:tc>
          <w:tcPr>
            <w:tcW w:type="dxa" w:w="2771"/>
          </w:tcPr>
          <w:p>
            <w:pPr>
              <w:jc w:val="left"/>
            </w:pPr>
            <w:r/>
            <w:r>
              <w:rPr>
                <w:rFonts w:ascii="Times New Roman" w:hAnsi="Times New Roman" w:eastAsia="宋体"/>
                <w:b w:val="0"/>
                <w:sz w:val="18"/>
              </w:rPr>
              <w:t>节能降耗能力</w:t>
            </w:r>
          </w:p>
        </w:tc>
        <w:tc>
          <w:tcPr>
            <w:tcW w:type="dxa" w:w="2771"/>
          </w:tcPr>
          <w:p>
            <w:pPr>
              <w:jc w:val="left"/>
            </w:pPr>
            <w:r/>
            <w:r>
              <w:rPr>
                <w:rFonts w:ascii="Times New Roman" w:hAnsi="Times New Roman" w:eastAsia="宋体"/>
                <w:b w:val="0"/>
                <w:sz w:val="18"/>
              </w:rPr>
              <w:t>有限，保守运行导致能耗偏高</w:t>
            </w:r>
          </w:p>
        </w:tc>
        <w:tc>
          <w:tcPr>
            <w:tcW w:type="dxa" w:w="2771"/>
          </w:tcPr>
          <w:p>
            <w:pPr>
              <w:jc w:val="left"/>
            </w:pPr>
            <w:r/>
            <w:r>
              <w:rPr>
                <w:rFonts w:ascii="Times New Roman" w:hAnsi="Times New Roman" w:eastAsia="宋体"/>
                <w:b w:val="0"/>
                <w:sz w:val="18"/>
              </w:rPr>
              <w:t>显著，多目标优化实现成本最优</w:t>
            </w:r>
          </w:p>
        </w:tc>
      </w:tr>
      <w:tr>
        <w:tc>
          <w:tcPr>
            <w:tcW w:type="dxa" w:w="2771"/>
          </w:tcPr>
          <w:p>
            <w:pPr>
              <w:jc w:val="left"/>
            </w:pPr>
            <w:r/>
            <w:r>
              <w:rPr>
                <w:rFonts w:ascii="Times New Roman" w:hAnsi="Times New Roman" w:eastAsia="宋体"/>
                <w:b w:val="0"/>
                <w:sz w:val="18"/>
              </w:rPr>
              <w:t>系统可扩展性</w:t>
            </w:r>
          </w:p>
        </w:tc>
        <w:tc>
          <w:tcPr>
            <w:tcW w:type="dxa" w:w="2771"/>
          </w:tcPr>
          <w:p>
            <w:pPr>
              <w:jc w:val="left"/>
            </w:pPr>
            <w:r/>
            <w:r>
              <w:rPr>
                <w:rFonts w:ascii="Times New Roman" w:hAnsi="Times New Roman" w:eastAsia="宋体"/>
                <w:b w:val="0"/>
                <w:sz w:val="18"/>
              </w:rPr>
              <w:t>受限于DCS硬件和逻辑</w:t>
            </w:r>
          </w:p>
        </w:tc>
        <w:tc>
          <w:tcPr>
            <w:tcW w:type="dxa" w:w="2771"/>
          </w:tcPr>
          <w:p>
            <w:pPr>
              <w:jc w:val="left"/>
            </w:pPr>
            <w:r/>
            <w:r>
              <w:rPr>
                <w:rFonts w:ascii="Times New Roman" w:hAnsi="Times New Roman" w:eastAsia="宋体"/>
                <w:b w:val="0"/>
                <w:sz w:val="18"/>
              </w:rPr>
              <w:t>外挂式架构，灵活扩展升级</w:t>
            </w:r>
          </w:p>
        </w:tc>
      </w:tr>
    </w:tbl>
    <w:p>
      <w:pPr>
        <w:spacing w:before="0" w:after="60" w:line="300" w:lineRule="auto"/>
        <w:jc w:val="center"/>
      </w:pPr>
      <w:r>
        <w:rPr>
          <w:rFonts w:ascii="Times New Roman" w:hAnsi="Times New Roman" w:eastAsia="宋体"/>
          <w:b w:val="0"/>
          <w:sz w:val="18"/>
        </w:rPr>
        <w:t>表2  iFGD系统与传统PID控制对比</w:t>
      </w:r>
    </w:p>
    <w:p>
      <w:pPr>
        <w:spacing w:before="60" w:after="40" w:line="300" w:lineRule="auto"/>
        <w:jc w:val="left"/>
      </w:pPr>
      <w:r>
        <w:rPr>
          <w:rFonts w:ascii="Times New Roman" w:hAnsi="Times New Roman" w:eastAsia="黑体"/>
          <w:b/>
          <w:sz w:val="21"/>
        </w:rPr>
        <w:t>4.3  当前技术存在的不足</w:t>
      </w:r>
    </w:p>
    <w:p>
      <w:pPr>
        <w:spacing w:before="0" w:after="0" w:line="300" w:lineRule="auto"/>
        <w:ind w:firstLine="420"/>
        <w:jc w:val="both"/>
      </w:pPr>
      <w:r>
        <w:rPr>
          <w:rFonts w:ascii="Times New Roman" w:hAnsi="Times New Roman" w:eastAsia="宋体"/>
          <w:b w:val="0"/>
          <w:sz w:val="21"/>
        </w:rPr>
        <w:t>尽管iFGD系统取得了显著的成功，但从技术发展和持续优化的角度审视，仍然存在以下不足和改进空间：（1）对仪表的依赖度高。系统的正常运行高度依赖CEMS（烟气连续排放监测系统）和pH计等在线仪表的准确性和可靠性。实际运行中出现的pH测量问题和CEMS标定问题曾导致系统需要暂时切回手动模式。仪表的漂移、堵塞和故障会直接影响iFGD系统的可用率。（2）模型适应性问题。GPC算法的控制品质根植于过程模型的准确性。在极端煤质变化或深度调峰等非常规工况下，模型精度可能下降，控制效果需要进一步验证。虽然系统设计了在线修正功能，但对于大幅度的工况跳跃，模型的快速自适应能力仍有待加强。（3）参数整定复杂度。GPC算法的控制参数（包括预测时域长度N、控制时域长度Nu、柔化因子α、误差权重矩阵等）比PID参数更为丰富，其整定需要较为专业的控制理论知识，这在一定程度上增加了系统调试和运维的技术门槛。（4）系统集成与扩展性。目前iFGD系统主要专注于脱硫系统SO₂浓度的闭环控制和相关设备的优化，与其他环保设施（如脱硝SCR系统、湿式电除尘等）的协同控制尚未完全打通。（5）数据驱动模型的局限性。系统的建模方法虽然融合了机理模型和数据驱动，但数据驱动部分主要基于历史运行数据。在面对未经过训练的极端工况时，纯数据驱动模型的预测能力有限，需要机理模型的约束和引导。</w:t>
      </w:r>
    </w:p>
    <w:p>
      <w:pPr>
        <w:spacing w:before="60" w:after="40" w:line="300" w:lineRule="auto"/>
        <w:jc w:val="left"/>
      </w:pPr>
      <w:r>
        <w:rPr>
          <w:rFonts w:ascii="Times New Roman" w:hAnsi="Times New Roman" w:eastAsia="黑体"/>
          <w:b/>
          <w:sz w:val="21"/>
        </w:rPr>
        <w:t>4.4  改良方向与优化建议</w:t>
      </w:r>
    </w:p>
    <w:p>
      <w:pPr>
        <w:spacing w:before="0" w:after="0" w:line="300" w:lineRule="auto"/>
        <w:ind w:firstLine="420"/>
        <w:jc w:val="both"/>
      </w:pPr>
      <w:r>
        <w:rPr>
          <w:rFonts w:ascii="Times New Roman" w:hAnsi="Times New Roman" w:eastAsia="宋体"/>
          <w:b w:val="0"/>
          <w:sz w:val="21"/>
        </w:rPr>
        <w:t>面向未来，智慧脱硫技术可以从算法优化、系统集成、数据智能和硬件可靠性四个维度进行持续改良和升级。</w:t>
      </w:r>
    </w:p>
    <w:p>
      <w:pPr>
        <w:spacing w:before="40" w:after="20" w:line="300" w:lineRule="auto"/>
        <w:jc w:val="left"/>
      </w:pPr>
      <w:r>
        <w:rPr>
          <w:rFonts w:ascii="Times New Roman" w:hAnsi="Times New Roman" w:eastAsia="宋体"/>
          <w:b w:val="0"/>
          <w:sz w:val="21"/>
        </w:rPr>
        <w:t>4.4.1  算法层面优化</w:t>
      </w:r>
    </w:p>
    <w:p>
      <w:pPr>
        <w:spacing w:before="0" w:after="0" w:line="300" w:lineRule="auto"/>
        <w:ind w:firstLine="420"/>
        <w:jc w:val="both"/>
      </w:pPr>
      <w:r>
        <w:rPr>
          <w:rFonts w:ascii="Times New Roman" w:hAnsi="Times New Roman" w:eastAsia="宋体"/>
          <w:b w:val="0"/>
          <w:sz w:val="21"/>
        </w:rPr>
        <w:t>（1）引入深度学习模型。探索将长短期记忆网络（LSTM）或Transformer等深度学习模型与GPC框架相结合，利用深度神经网络强大的非线性拟合能力，增强对复杂工况下脱硫过程的预测精度。（2）混合建模方法。推进"机理+数据"深度融合的混合建模方法，以物料平衡、化学反应动力学等机理模型为主体框架，以数据驱动模型补偿机理模型的未建模动态，提升模型在未训练工况下的泛化能力。（3）自适应性增强。研发基于在线学习的自适应GPC算法，使控制器能够根据实时运行数据自动更新模型参数和控制器参数，减少人工整定的需求和频率。（4）多目标统一优化。将出口SO₂浓度控制、系统能耗、石灰石消耗、设备寿命损耗等多重目标纳入统一的多目标优化框架，采用Pareto最优等方法在不同工况下自适应权衡各目标的重要性权重。</w:t>
      </w:r>
    </w:p>
    <w:p>
      <w:pPr>
        <w:spacing w:before="40" w:after="20" w:line="300" w:lineRule="auto"/>
        <w:jc w:val="left"/>
      </w:pPr>
      <w:r>
        <w:rPr>
          <w:rFonts w:ascii="Times New Roman" w:hAnsi="Times New Roman" w:eastAsia="宋体"/>
          <w:b w:val="0"/>
          <w:sz w:val="21"/>
        </w:rPr>
        <w:t>4.4.2  系统集成层面</w:t>
      </w:r>
    </w:p>
    <w:p>
      <w:pPr>
        <w:spacing w:before="0" w:after="0" w:line="300" w:lineRule="auto"/>
        <w:ind w:firstLine="420"/>
        <w:jc w:val="both"/>
      </w:pPr>
      <w:r>
        <w:rPr>
          <w:rFonts w:ascii="Times New Roman" w:hAnsi="Times New Roman" w:eastAsia="宋体"/>
          <w:b w:val="0"/>
          <w:sz w:val="21"/>
        </w:rPr>
        <w:t>（1）多污染物协同控制。将脱硫（SO₂控制）、脱硝（NOx控制）、除尘（颗粒物控制）纳入统一的智能环保控制平台，实现多种污染物的协同优化控制，避免各自为政导致的资源浪费和控制冲突。（2）与AGC/深度调峰联动。将脱硫控制系统与机组的AGC系统和深度调峰策略进行联动，使脱硫系统在机组快速变负荷过程中能够提前预知负荷变化趋势，实现"前馈+反馈"的最优控制。（3）远程运维与诊断平台。基于工业互联网技术，构建智慧脱硫系统的远程监控和故障诊断平台，支持技术人员远程查看系统状态、分析运行数据和下发优化策略，实现集团级多机组集中管理。（4）数字孪生系统。构建脱硫系统的数字孪生模型，支持离线仿真、控制策略验证和故障模拟分析，为系统优化和运维提供"沙盘推演"能力。</w:t>
      </w:r>
    </w:p>
    <w:p>
      <w:pPr>
        <w:spacing w:before="40" w:after="20" w:line="300" w:lineRule="auto"/>
        <w:jc w:val="left"/>
      </w:pPr>
      <w:r>
        <w:rPr>
          <w:rFonts w:ascii="Times New Roman" w:hAnsi="Times New Roman" w:eastAsia="宋体"/>
          <w:b w:val="0"/>
          <w:sz w:val="21"/>
        </w:rPr>
        <w:t>4.4.3  数据与智能层面</w:t>
      </w:r>
    </w:p>
    <w:p>
      <w:pPr>
        <w:spacing w:before="0" w:after="0" w:line="300" w:lineRule="auto"/>
        <w:ind w:firstLine="420"/>
        <w:jc w:val="both"/>
      </w:pPr>
      <w:r>
        <w:rPr>
          <w:rFonts w:ascii="Times New Roman" w:hAnsi="Times New Roman" w:eastAsia="宋体"/>
          <w:b w:val="0"/>
          <w:sz w:val="21"/>
        </w:rPr>
        <w:t>（1）大数据分析挖掘。利用长期积累的运行数据，通过聚类分析、关联规则挖掘等数据挖掘技术，自动发现不同工况下的最优运行模式和节能空间，形成运行知识库。（2）自适应强化学习。在传统预测控制的基础上，引入强化学习（Reinforcement Learning）框架，使控制系统能够通过与环境的持续交互，自主学习最优控制策略，实现控制性能的持续改进。（3）智能故障诊断与预警。基于AI技术开发脱硫系统的智能故障诊断和预测性维护功能，对循环泵、氧化风机、pH计、CEMS等关键设备进行健康状态评估和故障预警，变"被动维修"为"预测维护"。（4）运行知识图谱。构建涵盖运行规程、事故预案、专家经验、历史案例等信息的脱硫运行知识图谱，为运行人员提供智能辅助决策支持。</w:t>
      </w:r>
    </w:p>
    <w:p>
      <w:pPr>
        <w:spacing w:before="40" w:after="20" w:line="300" w:lineRule="auto"/>
        <w:jc w:val="left"/>
      </w:pPr>
      <w:r>
        <w:rPr>
          <w:rFonts w:ascii="Times New Roman" w:hAnsi="Times New Roman" w:eastAsia="宋体"/>
          <w:b w:val="0"/>
          <w:sz w:val="21"/>
        </w:rPr>
        <w:t>4.4.4  硬件与可靠性层面</w:t>
      </w:r>
    </w:p>
    <w:p>
      <w:pPr>
        <w:spacing w:before="0" w:after="0" w:line="300" w:lineRule="auto"/>
        <w:ind w:firstLine="420"/>
        <w:jc w:val="both"/>
      </w:pPr>
      <w:r>
        <w:rPr>
          <w:rFonts w:ascii="Times New Roman" w:hAnsi="Times New Roman" w:eastAsia="宋体"/>
          <w:b w:val="0"/>
          <w:sz w:val="21"/>
        </w:rPr>
        <w:t>（1）关键传感器冗余配置。对CEMS和pH计等关键在线仪表采用冗余配置方案（如一用一备或三取中），提高测量系统的可靠性，减少因仪表故障导致的系统切除时间。（2）在线自动标定技术。开发CEMS和pH计的在线自动标定技术，减少离线标定对系统运行的影响，延长系统的连续自动运行时间。（3）边缘计算节点部署。将部分实时性要求高的控制逻辑下沉至边缘计算节点，降低与DCS之间的通讯延迟，进一步提高控制响应速度。（4）工控安全防护。加强智慧脱硫系统的网络安全防护能力，包括通讯加密、访问控制、安全审计等功能，防止网络攻击对控制系统造成影响。</w:t>
      </w:r>
    </w:p>
    <w:p>
      <w:pPr>
        <w:spacing w:before="180" w:after="60" w:line="300" w:lineRule="auto"/>
        <w:jc w:val="left"/>
      </w:pPr>
      <w:r>
        <w:rPr>
          <w:rFonts w:ascii="Times New Roman" w:hAnsi="Times New Roman" w:eastAsia="黑体"/>
          <w:b/>
          <w:sz w:val="24"/>
        </w:rPr>
        <w:t>5  结论与展望</w:t>
      </w:r>
    </w:p>
    <w:p>
      <w:pPr>
        <w:spacing w:before="60" w:after="40" w:line="300" w:lineRule="auto"/>
        <w:jc w:val="left"/>
      </w:pPr>
      <w:r>
        <w:rPr>
          <w:rFonts w:ascii="Times New Roman" w:hAnsi="Times New Roman" w:eastAsia="黑体"/>
          <w:b/>
          <w:sz w:val="21"/>
        </w:rPr>
        <w:t>5.1  主要结论</w:t>
      </w:r>
    </w:p>
    <w:p>
      <w:pPr>
        <w:spacing w:before="0" w:after="0" w:line="300" w:lineRule="auto"/>
        <w:ind w:firstLine="420"/>
        <w:jc w:val="both"/>
      </w:pPr>
      <w:r>
        <w:rPr>
          <w:rFonts w:ascii="Times New Roman" w:hAnsi="Times New Roman" w:eastAsia="宋体"/>
          <w:b w:val="0"/>
          <w:sz w:val="21"/>
        </w:rPr>
        <w:t>本文以江阴利港2×100万千瓦机组扩建项目脱硫EPC总承包工程的智慧脱硫控制系统（iFGD）为研究对象，系统分析了项目的技术背景、系统架构、核心算法和实施效果，并对智慧脱硫技术的优势与改良方向进行了深入探讨。通过本研究可以得出以下主要结论：</w:t>
      </w:r>
    </w:p>
    <w:p>
      <w:pPr>
        <w:spacing w:before="0" w:after="0" w:line="300" w:lineRule="auto"/>
        <w:ind w:firstLine="420"/>
        <w:jc w:val="both"/>
      </w:pPr>
      <w:r>
        <w:rPr>
          <w:rFonts w:ascii="Times New Roman" w:hAnsi="Times New Roman" w:eastAsia="宋体"/>
          <w:b w:val="0"/>
          <w:sz w:val="21"/>
        </w:rPr>
        <w:t>（1）iFGD系统基于广义预测控制（GPC）算法，采用外挂式架构和MODBUS通讯协议，有效解决了湿法脱硫过程中pH值大滞后、大惯性的控制难题，实现了脱硫系统的全自动闭环优化控制。</w:t>
      </w:r>
    </w:p>
    <w:p>
      <w:pPr>
        <w:spacing w:before="0" w:after="0" w:line="300" w:lineRule="auto"/>
        <w:ind w:firstLine="420"/>
        <w:jc w:val="both"/>
      </w:pPr>
      <w:r>
        <w:rPr>
          <w:rFonts w:ascii="Times New Roman" w:hAnsi="Times New Roman" w:eastAsia="宋体"/>
          <w:b w:val="0"/>
          <w:sz w:val="21"/>
        </w:rPr>
        <w:t>（2）实际运行数据充分验证了系统的控制品质：在稳态工况下出口SO₂浓度控制偏差小于±5 mg/Nm³，标准方差仅3 mg/Nm³；在AGC变负荷工况（负荷变化幅度达600MW）下仍能保持±5 mg/Nm³的控制精度；设定值阶跃响应平稳，过渡时间约30-40分钟。</w:t>
      </w:r>
    </w:p>
    <w:p>
      <w:pPr>
        <w:spacing w:before="0" w:after="0" w:line="300" w:lineRule="auto"/>
        <w:ind w:firstLine="420"/>
        <w:jc w:val="both"/>
      </w:pPr>
      <w:r>
        <w:rPr>
          <w:rFonts w:ascii="Times New Roman" w:hAnsi="Times New Roman" w:eastAsia="宋体"/>
          <w:b w:val="0"/>
          <w:sz w:val="21"/>
        </w:rPr>
        <w:t>（3）在可靠性和可用性方面，系统自动投运率达到100%（排除仪表标定等客观因素后），超过99.9%的项目目标，表明了系统的高度可靠性。</w:t>
      </w:r>
    </w:p>
    <w:p>
      <w:pPr>
        <w:spacing w:before="0" w:after="0" w:line="300" w:lineRule="auto"/>
        <w:ind w:firstLine="420"/>
        <w:jc w:val="both"/>
      </w:pPr>
      <w:r>
        <w:rPr>
          <w:rFonts w:ascii="Times New Roman" w:hAnsi="Times New Roman" w:eastAsia="宋体"/>
          <w:b w:val="0"/>
          <w:sz w:val="21"/>
        </w:rPr>
        <w:t>（4）在综合效益方面，系统通过浆液循环泵组合优化、氧化风量智能调节和供浆流量精确控制，实现了显著的节能降耗效果，同时大幅降低了运行人员的操作强度，实现了"环保、节能、自动"三者的有机融合。</w:t>
      </w:r>
    </w:p>
    <w:p>
      <w:pPr>
        <w:spacing w:before="0" w:after="0" w:line="300" w:lineRule="auto"/>
        <w:ind w:firstLine="420"/>
        <w:jc w:val="both"/>
      </w:pPr>
      <w:r>
        <w:rPr>
          <w:rFonts w:ascii="Times New Roman" w:hAnsi="Times New Roman" w:eastAsia="宋体"/>
          <w:b w:val="0"/>
          <w:sz w:val="21"/>
        </w:rPr>
        <w:t>（5）与传统PID控制相比，iFGD系统在大滞后处理、多变量耦合处理、自适应能力、控制精度和自动化程度等关键指标上具有显著优势。</w:t>
      </w:r>
    </w:p>
    <w:p>
      <w:pPr>
        <w:spacing w:before="60" w:after="40" w:line="300" w:lineRule="auto"/>
        <w:jc w:val="left"/>
      </w:pPr>
      <w:r>
        <w:rPr>
          <w:rFonts w:ascii="Times New Roman" w:hAnsi="Times New Roman" w:eastAsia="黑体"/>
          <w:b/>
          <w:sz w:val="21"/>
        </w:rPr>
        <w:t>5.2  技术创新点总结</w:t>
      </w:r>
    </w:p>
    <w:p>
      <w:pPr>
        <w:spacing w:before="0" w:after="0" w:line="300" w:lineRule="auto"/>
        <w:ind w:firstLine="420"/>
        <w:jc w:val="both"/>
      </w:pPr>
      <w:r>
        <w:rPr>
          <w:rFonts w:ascii="Times New Roman" w:hAnsi="Times New Roman" w:eastAsia="宋体"/>
          <w:b w:val="0"/>
          <w:sz w:val="21"/>
        </w:rPr>
        <w:t>本项目在技术创新方面的亮点主要体现在四个方面。第一，GPC算法在脱硫pH值控制中的工程化应用创新。系统实现了GPC算法从理论到工程应用的完整转化，包括Diophantine方程的递推求解、柔化跟踪轨迹的工程化设计、模型在线修正等功能，形成了成熟的工程实施方案。第二，时序多层控制架构的设计创新。通过上层控制小时均值、下层控制实时值的分层架构，将环保考核指标直接纳入控制系统目标体系，有效解决了小时均值超标风险这一工程痛点。第三，机理与数据驱动融合的建模方法创新。项目将基于物料平衡的机理分析与基于运行数据的统计分析相结合，构建了兼顾物理约束和数据特征的混合模型，提高了模型的准确性和鲁棒性。第四，外挂式架构在存量机组改造中的适配性创新。系统不改变原有DCS系统的硬件配置和逻辑架构，通过MODBUS通讯实现数据交互和控制输出，最大程度降低了改造风险和对机组运行的影响，为存量机组的智能化改造提供了可行的技术路径。</w:t>
      </w:r>
    </w:p>
    <w:p>
      <w:pPr>
        <w:spacing w:before="60" w:after="40" w:line="300" w:lineRule="auto"/>
        <w:jc w:val="left"/>
      </w:pPr>
      <w:r>
        <w:rPr>
          <w:rFonts w:ascii="Times New Roman" w:hAnsi="Times New Roman" w:eastAsia="黑体"/>
          <w:b/>
          <w:sz w:val="21"/>
        </w:rPr>
        <w:t>5.3  推广前景与应用展望</w:t>
      </w:r>
    </w:p>
    <w:p>
      <w:pPr>
        <w:spacing w:before="0" w:after="0" w:line="300" w:lineRule="auto"/>
        <w:ind w:firstLine="420"/>
        <w:jc w:val="both"/>
      </w:pPr>
      <w:r>
        <w:rPr>
          <w:rFonts w:ascii="Times New Roman" w:hAnsi="Times New Roman" w:eastAsia="宋体"/>
          <w:b w:val="0"/>
          <w:sz w:val="21"/>
        </w:rPr>
        <w:t>江阴利港电厂智慧脱硫系统的成功投运，不仅在技术层面证明了先进预测控制算法在脱硫过程控制中的有效性和优越性，更在工程层面验证了系统的可靠性、安全性和经济性。从推广范围来看，iFGD系统不仅适用于同类型的百万千瓦级大型火电机组，其外挂式架构和标准化通讯协议的设计使其可以灵活适配不同容量等级（30万、60万、100万千瓦等）和不同控制系统的机组。特别是对于已完成超低排放改造但尚未实现智能化控制的存量机组，iFGD系统提供了一条见效快、风险低、效益高的技术升级路径。</w:t>
      </w:r>
    </w:p>
    <w:p>
      <w:pPr>
        <w:spacing w:before="0" w:after="0" w:line="300" w:lineRule="auto"/>
        <w:ind w:firstLine="420"/>
        <w:jc w:val="both"/>
      </w:pPr>
      <w:r>
        <w:rPr>
          <w:rFonts w:ascii="Times New Roman" w:hAnsi="Times New Roman" w:eastAsia="宋体"/>
          <w:b w:val="0"/>
          <w:sz w:val="21"/>
        </w:rPr>
        <w:t>展望未来，随着人工智能、工业互联网、大数据和数字孪生技术的持续发展，智慧脱硫技术也将沿着"智能化→协同化→自主化"的路径不断演进。在智能化方面，深度学习、强化学习等更先进的人工智能技术将进一步提升控制系统的自适应能力和优化水平。在协同化方面，脱硫、脱硝、除尘等多污染物治理设施将实现一体化智能协同控制，从"单点最优"走向"系统最优"。在自主化方面，随着知识图谱和智能决策技术的成熟，控制系统将逐步具备自主感知、自主决策、自主执行的能力，向着"无人干预、自适应优化"的终极目标迈进。智慧脱硫技术必将在推动中国火电行业绿色低碳转型和实现"双碳"目标的征程中发挥越来越重要的作用。</w:t>
      </w:r>
    </w:p>
    <w:p>
      <w:pPr>
        <w:spacing w:before="180" w:after="60" w:line="300" w:lineRule="auto"/>
        <w:jc w:val="left"/>
      </w:pPr>
      <w:r>
        <w:rPr>
          <w:rFonts w:ascii="Times New Roman" w:hAnsi="Times New Roman" w:eastAsia="黑体"/>
          <w:b/>
          <w:sz w:val="24"/>
        </w:rPr>
        <w:t>参考文献</w:t>
      </w:r>
    </w:p>
    <w:p>
      <w:pPr>
        <w:spacing w:before="0" w:after="0" w:line="300" w:lineRule="auto"/>
        <w:jc w:val="both"/>
      </w:pPr>
      <w:r>
        <w:rPr>
          <w:rFonts w:ascii="Times New Roman" w:hAnsi="Times New Roman" w:eastAsia="宋体"/>
          <w:b w:val="0"/>
          <w:sz w:val="21"/>
        </w:rPr>
        <w:t>[1] 上海鉴智软件技术有限公司. 江阴利港2×100万千瓦机组扩建项目脱硫EPC总承包工程智慧脱硫控制系统总结报告[R]. 2026.</w:t>
      </w:r>
    </w:p>
    <w:p>
      <w:pPr>
        <w:spacing w:before="0" w:after="0" w:line="300" w:lineRule="auto"/>
        <w:jc w:val="both"/>
      </w:pPr>
      <w:r>
        <w:rPr>
          <w:rFonts w:ascii="Times New Roman" w:hAnsi="Times New Roman" w:eastAsia="宋体"/>
          <w:b w:val="0"/>
          <w:sz w:val="21"/>
        </w:rPr>
        <w:t>[2] 上海鉴智软件技术有限公司. 超低排放FGD装置净烟气SO₂浓度智能闭环控制系统iFGD工程师维护手册[Z]. 2026.</w:t>
      </w:r>
    </w:p>
    <w:p>
      <w:pPr>
        <w:spacing w:before="0" w:after="0" w:line="300" w:lineRule="auto"/>
        <w:jc w:val="both"/>
      </w:pPr>
      <w:r>
        <w:rPr>
          <w:rFonts w:ascii="Times New Roman" w:hAnsi="Times New Roman" w:eastAsia="宋体"/>
          <w:b w:val="0"/>
          <w:sz w:val="21"/>
        </w:rPr>
        <w:t>[3] 上海鉴智软件技术有限公司. 脱硫系统优化控制系统(iFGD)运行操作手册[Z]. 2026.</w:t>
      </w:r>
    </w:p>
    <w:p>
      <w:pPr>
        <w:spacing w:before="0" w:after="0" w:line="300" w:lineRule="auto"/>
        <w:jc w:val="both"/>
      </w:pPr>
      <w:r>
        <w:rPr>
          <w:rFonts w:ascii="Times New Roman" w:hAnsi="Times New Roman" w:eastAsia="宋体"/>
          <w:b w:val="0"/>
          <w:sz w:val="21"/>
        </w:rPr>
        <w:t>[4] Clarke D W, Mohtadi C, Tuffs P S. Generalized predictive control—Part I. The basic algorithm[J]. Automatica, 1987, 23(2): 137-148.</w:t>
      </w:r>
    </w:p>
    <w:p>
      <w:pPr>
        <w:spacing w:before="0" w:after="0" w:line="300" w:lineRule="auto"/>
        <w:jc w:val="both"/>
      </w:pPr>
      <w:r>
        <w:rPr>
          <w:rFonts w:ascii="Times New Roman" w:hAnsi="Times New Roman" w:eastAsia="宋体"/>
          <w:b w:val="0"/>
          <w:sz w:val="21"/>
        </w:rPr>
        <w:t>[5] Clarke D W, Mohtadi C, Tuffs P S. Generalized predictive control—Part II. Extensions and interpretations[J]. Automatica, 1987, 23(2): 149-160.</w:t>
      </w:r>
    </w:p>
    <w:p>
      <w:pPr>
        <w:spacing w:before="0" w:after="0" w:line="300" w:lineRule="auto"/>
        <w:jc w:val="both"/>
      </w:pPr>
      <w:r>
        <w:rPr>
          <w:rFonts w:ascii="Times New Roman" w:hAnsi="Times New Roman" w:eastAsia="宋体"/>
          <w:b w:val="0"/>
          <w:sz w:val="21"/>
        </w:rPr>
        <w:t>[6] Richalet J, Rault A, Testud J L, et al. Model predictive heuristic control: Applications to industrial processes[J]. Automatica, 1978, 14(5): 413-428.</w:t>
      </w:r>
    </w:p>
    <w:p>
      <w:pPr>
        <w:spacing w:before="0" w:after="0" w:line="300" w:lineRule="auto"/>
        <w:jc w:val="both"/>
      </w:pPr>
      <w:r>
        <w:rPr>
          <w:rFonts w:ascii="Times New Roman" w:hAnsi="Times New Roman" w:eastAsia="宋体"/>
          <w:b w:val="0"/>
          <w:sz w:val="21"/>
        </w:rPr>
        <w:t>[7] Qin S J, Badgwell T A. A survey of industrial model predictive control technology[J]. Control Engineering Practice, 2003, 11(7): 733-764.</w:t>
      </w:r>
    </w:p>
    <w:p>
      <w:pPr>
        <w:spacing w:before="0" w:after="0" w:line="300" w:lineRule="auto"/>
        <w:jc w:val="both"/>
      </w:pPr>
      <w:r>
        <w:rPr>
          <w:rFonts w:ascii="Times New Roman" w:hAnsi="Times New Roman" w:eastAsia="宋体"/>
          <w:b w:val="0"/>
          <w:sz w:val="21"/>
        </w:rPr>
        <w:t>[8] Camacho E F, Bordons C. Model Predictive Control[M]. 2nd ed. London: Springer-Verlag, 2004.</w:t>
      </w:r>
    </w:p>
    <w:p>
      <w:pPr>
        <w:spacing w:before="0" w:after="0" w:line="300" w:lineRule="auto"/>
        <w:jc w:val="both"/>
      </w:pPr>
      <w:r>
        <w:rPr>
          <w:rFonts w:ascii="Times New Roman" w:hAnsi="Times New Roman" w:eastAsia="宋体"/>
          <w:b w:val="0"/>
          <w:sz w:val="21"/>
        </w:rPr>
        <w:t>[9] 席裕庚. 预测控制[M]. 北京: 国防工业出版社, 2013.</w:t>
      </w:r>
    </w:p>
    <w:p>
      <w:pPr>
        <w:spacing w:before="0" w:after="0" w:line="300" w:lineRule="auto"/>
        <w:jc w:val="both"/>
      </w:pPr>
      <w:r>
        <w:rPr>
          <w:rFonts w:ascii="Times New Roman" w:hAnsi="Times New Roman" w:eastAsia="宋体"/>
          <w:b w:val="0"/>
          <w:sz w:val="21"/>
        </w:rPr>
        <w:t>[10] 诸静. 智能预测控制及其应用[M]. 杭州: 浙江大学出版社, 2002.</w:t>
      </w:r>
    </w:p>
    <w:p>
      <w:pPr>
        <w:spacing w:before="0" w:after="0" w:line="300" w:lineRule="auto"/>
        <w:jc w:val="both"/>
      </w:pPr>
      <w:r>
        <w:rPr>
          <w:rFonts w:ascii="Times New Roman" w:hAnsi="Times New Roman" w:eastAsia="宋体"/>
          <w:b w:val="0"/>
          <w:sz w:val="21"/>
        </w:rPr>
        <w:t>[11] 国家发展和改革委员会, 国家能源局. "十四五"现代能源体系规划[Z]. 2022.</w:t>
      </w:r>
    </w:p>
    <w:p>
      <w:pPr>
        <w:spacing w:before="0" w:after="0" w:line="300" w:lineRule="auto"/>
        <w:jc w:val="both"/>
      </w:pPr>
      <w:r>
        <w:rPr>
          <w:rFonts w:ascii="Times New Roman" w:hAnsi="Times New Roman" w:eastAsia="宋体"/>
          <w:b w:val="0"/>
          <w:sz w:val="21"/>
        </w:rPr>
        <w:t>[12] 生态环境部. 关于推进实施水泥行业超低排放的意见[Z]. 2024.</w:t>
      </w:r>
    </w:p>
    <w:p>
      <w:pPr>
        <w:spacing w:before="0" w:after="0" w:line="300" w:lineRule="auto"/>
        <w:jc w:val="both"/>
      </w:pPr>
      <w:r>
        <w:rPr>
          <w:rFonts w:ascii="Times New Roman" w:hAnsi="Times New Roman" w:eastAsia="宋体"/>
          <w:b w:val="0"/>
          <w:sz w:val="21"/>
        </w:rPr>
        <w:t>[13] 中国电力企业联合会. 中国电力行业年度发展报告2025[R]. 2025.</w:t>
      </w:r>
    </w:p>
    <w:p>
      <w:pPr>
        <w:spacing w:before="0" w:after="0" w:line="300" w:lineRule="auto"/>
        <w:jc w:val="both"/>
      </w:pPr>
      <w:r>
        <w:rPr>
          <w:rFonts w:ascii="Times New Roman" w:hAnsi="Times New Roman" w:eastAsia="宋体"/>
          <w:b w:val="0"/>
          <w:sz w:val="21"/>
        </w:rPr>
        <w:t>[14] 刘永文, 刘吉臻, 等. 火电机组脱硫系统建模与优化控制研究综述[J]. 中国电机工程学报, 2023, 43(15): 5867-5885.</w:t>
      </w:r>
    </w:p>
    <w:p>
      <w:pPr>
        <w:spacing w:before="0" w:after="0" w:line="300" w:lineRule="auto"/>
        <w:jc w:val="both"/>
      </w:pPr>
      <w:r>
        <w:rPr>
          <w:rFonts w:ascii="Times New Roman" w:hAnsi="Times New Roman" w:eastAsia="宋体"/>
          <w:b w:val="0"/>
          <w:sz w:val="21"/>
        </w:rPr>
        <w:t>[15] 张兴, 李海涛, 等. 基于预测控制的湿法脱硫pH值控制策略研究[J]. 电力科技与环保, 2022, 38(4): 308-315.</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