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Modular Workflow for Mouse Cell-Type Marker and GPCR Probe Lists</w:t>
      </w:r>
    </w:p>
    <w:p>
      <w:pPr>
        <w:jc w:val="center"/>
      </w:pPr>
      <w:r>
        <w:rPr>
          <w:i/>
        </w:rPr>
        <w:t>Allen ABC/WMB + Published Marker + Published Raw-Data Integration</w:t>
      </w:r>
    </w:p>
    <w:p>
      <w:pPr>
        <w:pStyle w:val="Heading1"/>
      </w:pPr>
      <w:r>
        <w:t>1. Purpose</w:t>
      </w:r>
    </w:p>
    <w:p>
      <w:r>
        <w:t>This document defines a four-module pipeline for building a defensible mouse probe-list workbook for BMAp, LM, RE, CP, ORBm, and AId (dorsal agranular insula; verify not Ald). The main goal is to separate candidate GPCRs from GPCRs that are actually computed as expressed or enriched in a region-specific cell type.</w:t>
      </w:r>
    </w:p>
    <w:p>
      <w:pPr>
        <w:pStyle w:val="Heading1"/>
      </w:pPr>
      <w:r>
        <w:t>2. Why the pipeline is modular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Main output</w:t>
            </w:r>
          </w:p>
        </w:tc>
      </w:tr>
      <w:tr>
        <w:tc>
          <w:tcPr>
            <w:tcW w:type="dxa" w:w="3360"/>
            <w:vAlign w:val="top"/>
          </w:tcPr>
          <w:p>
            <w:r>
              <w:t>A. Allen-only computational module</w:t>
            </w:r>
          </w:p>
        </w:tc>
        <w:tc>
          <w:tcPr>
            <w:tcW w:type="dxa" w:w="3360"/>
            <w:vAlign w:val="top"/>
          </w:tcPr>
          <w:p>
            <w:r>
              <w:t>Compute region x cell-type x GPCR expression and marker rankings from Allen WMB/ABC data.</w:t>
            </w:r>
          </w:p>
        </w:tc>
        <w:tc>
          <w:tcPr>
            <w:tcW w:type="dxa" w:w="3360"/>
            <w:vAlign w:val="top"/>
          </w:tcPr>
          <w:p>
            <w:r>
              <w:t>Allen-computed GPCR and marker tables</w:t>
            </w:r>
          </w:p>
        </w:tc>
      </w:tr>
      <w:tr>
        <w:tc>
          <w:tcPr>
            <w:tcW w:type="dxa" w:w="3360"/>
            <w:vAlign w:val="top"/>
          </w:tcPr>
          <w:p>
            <w:r>
              <w:t>B. Published-marker input module</w:t>
            </w:r>
          </w:p>
        </w:tc>
        <w:tc>
          <w:tcPr>
            <w:tcW w:type="dxa" w:w="3360"/>
            <w:vAlign w:val="top"/>
          </w:tcPr>
          <w:p>
            <w:r>
              <w:t>Use curated/published cell-type markers when full all-gene computation is too large.</w:t>
            </w:r>
          </w:p>
        </w:tc>
        <w:tc>
          <w:tcPr>
            <w:tcW w:type="dxa" w:w="3360"/>
            <w:vAlign w:val="top"/>
          </w:tcPr>
          <w:p>
            <w:r>
              <w:t>Standardized marker backbone and Allen gene-presence checks</w:t>
            </w:r>
          </w:p>
        </w:tc>
      </w:tr>
      <w:tr>
        <w:tc>
          <w:tcPr>
            <w:tcW w:type="dxa" w:w="3360"/>
            <w:vAlign w:val="top"/>
          </w:tcPr>
          <w:p>
            <w:r>
              <w:t>C. Published raw-data extraction module</w:t>
            </w:r>
          </w:p>
        </w:tc>
        <w:tc>
          <w:tcPr>
            <w:tcW w:type="dxa" w:w="3360"/>
            <w:vAlign w:val="top"/>
          </w:tcPr>
          <w:p>
            <w:r>
              <w:t>Use downloaded paper source datasets to validate markers and GPCRs in region-specific datasets.</w:t>
            </w:r>
          </w:p>
        </w:tc>
        <w:tc>
          <w:tcPr>
            <w:tcW w:type="dxa" w:w="3360"/>
            <w:vAlign w:val="top"/>
          </w:tcPr>
          <w:p>
            <w:r>
              <w:t>Paper-computed GPCR and marker validation tables</w:t>
            </w:r>
          </w:p>
        </w:tc>
      </w:tr>
      <w:tr>
        <w:tc>
          <w:tcPr>
            <w:tcW w:type="dxa" w:w="3360"/>
            <w:vAlign w:val="top"/>
          </w:tcPr>
          <w:p>
            <w:r>
              <w:t>D. Final integration module</w:t>
            </w:r>
          </w:p>
        </w:tc>
        <w:tc>
          <w:tcPr>
            <w:tcW w:type="dxa" w:w="3360"/>
            <w:vAlign w:val="top"/>
          </w:tcPr>
          <w:p>
            <w:r>
              <w:t>Merge Allen-computed, published-marker, paper-computed, and old candidate evidence.</w:t>
            </w:r>
          </w:p>
        </w:tc>
        <w:tc>
          <w:tcPr>
            <w:tcW w:type="dxa" w:w="3360"/>
            <w:vAlign w:val="top"/>
          </w:tcPr>
          <w:p>
            <w:r>
              <w:t>Final evidence-aware probe workbook</w:t>
            </w:r>
          </w:p>
        </w:tc>
      </w:tr>
    </w:tbl>
    <w:p>
      <w:pPr>
        <w:pStyle w:val="Heading1"/>
      </w:pPr>
      <w:r>
        <w:t>3. Case 1: full raw-data workflow</w:t>
      </w:r>
    </w:p>
    <w:p>
      <w:r>
        <w:t>Use this for final probe ordering or publication-level confidence. It uses Allen WMB 10X, MERFISH/CCF, taxonomy, Consensus-WMB, and paper source datasets when available.</w:t>
      </w:r>
    </w:p>
    <w:p>
      <w:r>
        <w:t>Step order: A01 metadata audit -&gt; A02 region mapping -&gt; A03 GPCR extraction -&gt; A04 all-gene marker discovery -&gt; C paper source-data validation -&gt; D final workbook.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5040"/>
            <w:vAlign w:val="top"/>
          </w:tcPr>
          <w:p>
            <w:r>
              <w:t>Allen WMB 10X</w:t>
            </w:r>
          </w:p>
        </w:tc>
        <w:tc>
          <w:tcPr>
            <w:tcW w:type="dxa" w:w="5040"/>
            <w:vAlign w:val="top"/>
          </w:tcPr>
          <w:p>
            <w:r>
              <w:t>Transcriptome-wide GPCR and marker expression</w:t>
            </w:r>
          </w:p>
        </w:tc>
      </w:tr>
      <w:tr>
        <w:tc>
          <w:tcPr>
            <w:tcW w:type="dxa" w:w="5040"/>
            <w:vAlign w:val="top"/>
          </w:tcPr>
          <w:p>
            <w:r>
              <w:t>Allen WMB taxonomy</w:t>
            </w:r>
          </w:p>
        </w:tc>
        <w:tc>
          <w:tcPr>
            <w:tcW w:type="dxa" w:w="5040"/>
            <w:vAlign w:val="top"/>
          </w:tcPr>
          <w:p>
            <w:r>
              <w:t>Class, subclass, supertype, and cluster identity</w:t>
            </w:r>
          </w:p>
        </w:tc>
      </w:tr>
      <w:tr>
        <w:tc>
          <w:tcPr>
            <w:tcW w:type="dxa" w:w="5040"/>
            <w:vAlign w:val="top"/>
          </w:tcPr>
          <w:p>
            <w:r>
              <w:t>Allen MERFISH/CCF</w:t>
            </w:r>
          </w:p>
        </w:tc>
        <w:tc>
          <w:tcPr>
            <w:tcW w:type="dxa" w:w="5040"/>
            <w:vAlign w:val="top"/>
          </w:tcPr>
          <w:p>
            <w:r>
              <w:t>Spatial region mapping</w:t>
            </w:r>
          </w:p>
        </w:tc>
      </w:tr>
      <w:tr>
        <w:tc>
          <w:tcPr>
            <w:tcW w:type="dxa" w:w="5040"/>
            <w:vAlign w:val="top"/>
          </w:tcPr>
          <w:p>
            <w:r>
              <w:t>Consensus-WMB</w:t>
            </w:r>
          </w:p>
        </w:tc>
        <w:tc>
          <w:tcPr>
            <w:tcW w:type="dxa" w:w="5040"/>
            <w:vAlign w:val="top"/>
          </w:tcPr>
          <w:p>
            <w:r>
              <w:t>Validation across datasets</w:t>
            </w:r>
          </w:p>
        </w:tc>
      </w:tr>
      <w:tr>
        <w:tc>
          <w:tcPr>
            <w:tcW w:type="dxa" w:w="5040"/>
            <w:vAlign w:val="top"/>
          </w:tcPr>
          <w:p>
            <w:r>
              <w:t>Published paper source data</w:t>
            </w:r>
          </w:p>
        </w:tc>
        <w:tc>
          <w:tcPr>
            <w:tcW w:type="dxa" w:w="5040"/>
            <w:vAlign w:val="top"/>
          </w:tcPr>
          <w:p>
            <w:r>
              <w:t>Region-specific validation, especially for BMAp and CP</w:t>
            </w:r>
          </w:p>
        </w:tc>
      </w:tr>
    </w:tbl>
    <w:p>
      <w:pPr>
        <w:pStyle w:val="Heading1"/>
      </w:pPr>
      <w:r>
        <w:t>4. Case 2: lightweight marker + GPCR workflow</w:t>
      </w:r>
    </w:p>
    <w:p>
      <w:r>
        <w:t>Use this first when the full raw matrix workflow is too large. Published or curated marker genes define cell types; Allen WMB 10X is used to compute GPCR expression by taxonomy group. This is the fastest way to correct the current candidate GPCR list.</w:t>
      </w:r>
    </w:p>
    <w:p>
      <w:r>
        <w:t>Step order: B01 marker standardization -&gt; B02 Allen marker presence check -&gt; A03 GPCR-only expression extraction -&gt; D final workbook.</w:t>
      </w:r>
    </w:p>
    <w:p>
      <w:pPr>
        <w:pStyle w:val="Heading1"/>
      </w:pPr>
      <w:r>
        <w:t>5. Evidence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Evidence label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  <w:vAlign w:val="top"/>
          </w:tcPr>
          <w:p>
            <w:r>
              <w:t>Allen_WMB_10X_computed</w:t>
            </w:r>
          </w:p>
        </w:tc>
        <w:tc>
          <w:tcPr>
            <w:tcW w:type="dxa" w:w="5040"/>
            <w:vAlign w:val="top"/>
          </w:tcPr>
          <w:p>
            <w:r>
              <w:t>Expression computed from Allen WMB 10X data</w:t>
            </w:r>
          </w:p>
        </w:tc>
      </w:tr>
      <w:tr>
        <w:tc>
          <w:tcPr>
            <w:tcW w:type="dxa" w:w="5040"/>
            <w:vAlign w:val="top"/>
          </w:tcPr>
          <w:p>
            <w:r>
              <w:t>Allen_MERFISH_spatial_computed</w:t>
            </w:r>
          </w:p>
        </w:tc>
        <w:tc>
          <w:tcPr>
            <w:tcW w:type="dxa" w:w="5040"/>
            <w:vAlign w:val="top"/>
          </w:tcPr>
          <w:p>
            <w:r>
              <w:t>Spatial region/cell assignment computed from MERFISH/CCF</w:t>
            </w:r>
          </w:p>
        </w:tc>
      </w:tr>
      <w:tr>
        <w:tc>
          <w:tcPr>
            <w:tcW w:type="dxa" w:w="5040"/>
            <w:vAlign w:val="top"/>
          </w:tcPr>
          <w:p>
            <w:r>
              <w:t>Consensus_WMB_validated</w:t>
            </w:r>
          </w:p>
        </w:tc>
        <w:tc>
          <w:tcPr>
            <w:tcW w:type="dxa" w:w="5040"/>
            <w:vAlign w:val="top"/>
          </w:tcPr>
          <w:p>
            <w:r>
              <w:t>Pattern validated in Consensus-WMB</w:t>
            </w:r>
          </w:p>
        </w:tc>
      </w:tr>
      <w:tr>
        <w:tc>
          <w:tcPr>
            <w:tcW w:type="dxa" w:w="5040"/>
            <w:vAlign w:val="top"/>
          </w:tcPr>
          <w:p>
            <w:r>
              <w:t>Paper_dataset_computed</w:t>
            </w:r>
          </w:p>
        </w:tc>
        <w:tc>
          <w:tcPr>
            <w:tcW w:type="dxa" w:w="5040"/>
            <w:vAlign w:val="top"/>
          </w:tcPr>
          <w:p>
            <w:r>
              <w:t>Expression computed from downloaded paper source data</w:t>
            </w:r>
          </w:p>
        </w:tc>
      </w:tr>
      <w:tr>
        <w:tc>
          <w:tcPr>
            <w:tcW w:type="dxa" w:w="5040"/>
            <w:vAlign w:val="top"/>
          </w:tcPr>
          <w:p>
            <w:r>
              <w:t>Published_marker_canonical</w:t>
            </w:r>
          </w:p>
        </w:tc>
        <w:tc>
          <w:tcPr>
            <w:tcW w:type="dxa" w:w="5040"/>
            <w:vAlign w:val="top"/>
          </w:tcPr>
          <w:p>
            <w:r>
              <w:t>Canonical literature marker, not necessarily region-specific</w:t>
            </w:r>
          </w:p>
        </w:tc>
      </w:tr>
      <w:tr>
        <w:tc>
          <w:tcPr>
            <w:tcW w:type="dxa" w:w="5040"/>
            <w:vAlign w:val="top"/>
          </w:tcPr>
          <w:p>
            <w:r>
              <w:t>Literature_candidate_GPCR</w:t>
            </w:r>
          </w:p>
        </w:tc>
        <w:tc>
          <w:tcPr>
            <w:tcW w:type="dxa" w:w="5040"/>
            <w:vAlign w:val="top"/>
          </w:tcPr>
          <w:p>
            <w:r>
              <w:t>Candidate receptor from known biology, not computed</w:t>
            </w:r>
          </w:p>
        </w:tc>
      </w:tr>
      <w:tr>
        <w:tc>
          <w:tcPr>
            <w:tcW w:type="dxa" w:w="5040"/>
            <w:vAlign w:val="top"/>
          </w:tcPr>
          <w:p>
            <w:r>
              <w:t>Downgrade_or_remove</w:t>
            </w:r>
          </w:p>
        </w:tc>
        <w:tc>
          <w:tcPr>
            <w:tcW w:type="dxa" w:w="5040"/>
            <w:vAlign w:val="top"/>
          </w:tcPr>
          <w:p>
            <w:r>
              <w:t>Weak or unsupported after computation</w:t>
            </w:r>
          </w:p>
        </w:tc>
      </w:tr>
    </w:tbl>
    <w:p>
      <w:pPr>
        <w:pStyle w:val="Heading1"/>
      </w:pPr>
      <w:r>
        <w:t>6. Interpretation rule</w:t>
      </w:r>
    </w:p>
    <w:p>
      <w:r>
        <w:t>Do not label a GPCR as “high in this cell type” unless there is computed expression evidence. The safe phrase before computation is “candidate GPCR to validate.”</w:t>
      </w:r>
    </w:p>
    <w:p>
      <w:pPr>
        <w:pStyle w:val="Heading1"/>
      </w:pPr>
      <w:r>
        <w:t>7. Final workbook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Sheet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5040"/>
            <w:vAlign w:val="top"/>
          </w:tcPr>
          <w:p>
            <w:r>
              <w:t>README</w:t>
            </w:r>
          </w:p>
        </w:tc>
        <w:tc>
          <w:tcPr>
            <w:tcW w:type="dxa" w:w="5040"/>
            <w:vAlign w:val="top"/>
          </w:tcPr>
          <w:p>
            <w:r>
              <w:t>Purpose, thresholds, evidence labels</w:t>
            </w:r>
          </w:p>
        </w:tc>
      </w:tr>
      <w:tr>
        <w:tc>
          <w:tcPr>
            <w:tcW w:type="dxa" w:w="5040"/>
            <w:vAlign w:val="top"/>
          </w:tcPr>
          <w:p>
            <w:r>
              <w:t>Region_Mapping_Final</w:t>
            </w:r>
          </w:p>
        </w:tc>
        <w:tc>
          <w:tcPr>
            <w:tcW w:type="dxa" w:w="5040"/>
            <w:vAlign w:val="top"/>
          </w:tcPr>
          <w:p>
            <w:r>
              <w:t>User label to exact Allen region/acronym mapping</w:t>
            </w:r>
          </w:p>
        </w:tc>
      </w:tr>
      <w:tr>
        <w:tc>
          <w:tcPr>
            <w:tcW w:type="dxa" w:w="5040"/>
            <w:vAlign w:val="top"/>
          </w:tcPr>
          <w:p>
            <w:r>
              <w:t>CellTypes_By_Region</w:t>
            </w:r>
          </w:p>
        </w:tc>
        <w:tc>
          <w:tcPr>
            <w:tcW w:type="dxa" w:w="5040"/>
            <w:vAlign w:val="top"/>
          </w:tcPr>
          <w:p>
            <w:r>
              <w:t>Allen taxonomy groups present in each region</w:t>
            </w:r>
          </w:p>
        </w:tc>
      </w:tr>
      <w:tr>
        <w:tc>
          <w:tcPr>
            <w:tcW w:type="dxa" w:w="5040"/>
            <w:vAlign w:val="top"/>
          </w:tcPr>
          <w:p>
            <w:r>
              <w:t>Computed_GPCR_Ranking</w:t>
            </w:r>
          </w:p>
        </w:tc>
        <w:tc>
          <w:tcPr>
            <w:tcW w:type="dxa" w:w="5040"/>
            <w:vAlign w:val="top"/>
          </w:tcPr>
          <w:p>
            <w:r>
              <w:t>Mean expression, percent expressing, ranks, evidence source</w:t>
            </w:r>
          </w:p>
        </w:tc>
      </w:tr>
      <w:tr>
        <w:tc>
          <w:tcPr>
            <w:tcW w:type="dxa" w:w="5040"/>
            <w:vAlign w:val="top"/>
          </w:tcPr>
          <w:p>
            <w:r>
              <w:t>Computed_Marker_Ranking</w:t>
            </w:r>
          </w:p>
        </w:tc>
        <w:tc>
          <w:tcPr>
            <w:tcW w:type="dxa" w:w="5040"/>
            <w:vAlign w:val="top"/>
          </w:tcPr>
          <w:p>
            <w:r>
              <w:t>All-gene marker discovery results if Case 1 is run</w:t>
            </w:r>
          </w:p>
        </w:tc>
      </w:tr>
      <w:tr>
        <w:tc>
          <w:tcPr>
            <w:tcW w:type="dxa" w:w="5040"/>
            <w:vAlign w:val="top"/>
          </w:tcPr>
          <w:p>
            <w:r>
              <w:t>Published_Marker_Backbone</w:t>
            </w:r>
          </w:p>
        </w:tc>
        <w:tc>
          <w:tcPr>
            <w:tcW w:type="dxa" w:w="5040"/>
            <w:vAlign w:val="top"/>
          </w:tcPr>
          <w:p>
            <w:r>
              <w:t>Published/curated markers used in Case 2</w:t>
            </w:r>
          </w:p>
        </w:tc>
      </w:tr>
      <w:tr>
        <w:tc>
          <w:tcPr>
            <w:tcW w:type="dxa" w:w="5040"/>
            <w:vAlign w:val="top"/>
          </w:tcPr>
          <w:p>
            <w:r>
              <w:t>Paper_Data_Validation</w:t>
            </w:r>
          </w:p>
        </w:tc>
        <w:tc>
          <w:tcPr>
            <w:tcW w:type="dxa" w:w="5040"/>
            <w:vAlign w:val="top"/>
          </w:tcPr>
          <w:p>
            <w:r>
              <w:t>Paper-source computed validation</w:t>
            </w:r>
          </w:p>
        </w:tc>
      </w:tr>
      <w:tr>
        <w:tc>
          <w:tcPr>
            <w:tcW w:type="dxa" w:w="5040"/>
            <w:vAlign w:val="top"/>
          </w:tcPr>
          <w:p>
            <w:r>
              <w:t>Candidate_vs_Computed_Audit</w:t>
            </w:r>
          </w:p>
        </w:tc>
        <w:tc>
          <w:tcPr>
            <w:tcW w:type="dxa" w:w="5040"/>
            <w:vAlign w:val="top"/>
          </w:tcPr>
          <w:p>
            <w:r>
              <w:t>Old candidates compared to computed evidence</w:t>
            </w:r>
          </w:p>
        </w:tc>
      </w:tr>
      <w:tr>
        <w:tc>
          <w:tcPr>
            <w:tcW w:type="dxa" w:w="5040"/>
            <w:vAlign w:val="top"/>
          </w:tcPr>
          <w:p>
            <w:r>
              <w:t>Final_Probe_Panel</w:t>
            </w:r>
          </w:p>
        </w:tc>
        <w:tc>
          <w:tcPr>
            <w:tcW w:type="dxa" w:w="5040"/>
            <w:vAlign w:val="top"/>
          </w:tcPr>
          <w:p>
            <w:r>
              <w:t>Genes recommended for probe design</w:t>
            </w:r>
          </w:p>
        </w:tc>
      </w:tr>
      <w:tr>
        <w:tc>
          <w:tcPr>
            <w:tcW w:type="dxa" w:w="5040"/>
            <w:vAlign w:val="top"/>
          </w:tcPr>
          <w:p>
            <w:r>
              <w:t>Removed_or_Downgraded</w:t>
            </w:r>
          </w:p>
        </w:tc>
        <w:tc>
          <w:tcPr>
            <w:tcW w:type="dxa" w:w="5040"/>
            <w:vAlign w:val="top"/>
          </w:tcPr>
          <w:p>
            <w:r>
              <w:t>Weak, wrong-region, or low-expression candidates</w:t>
            </w:r>
          </w:p>
        </w:tc>
      </w:tr>
    </w:tbl>
    <w:p>
      <w:pPr>
        <w:pStyle w:val="Heading1"/>
      </w:pPr>
      <w:r>
        <w:t>8. Region-specific cautions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Caution</w:t>
            </w:r>
          </w:p>
        </w:tc>
      </w:tr>
      <w:tr>
        <w:tc>
          <w:tcPr>
            <w:tcW w:type="dxa" w:w="5040"/>
            <w:vAlign w:val="top"/>
          </w:tcPr>
          <w:p>
            <w:r>
              <w:t>BMAp</w:t>
            </w:r>
          </w:p>
        </w:tc>
        <w:tc>
          <w:tcPr>
            <w:tcW w:type="dxa" w:w="5040"/>
            <w:vAlign w:val="top"/>
          </w:tcPr>
          <w:p>
            <w:r>
              <w:t>BMAp anatomy is clear, but exact cluster-level GPCR ranking requires Allen/Paper expression extraction.</w:t>
            </w:r>
          </w:p>
        </w:tc>
      </w:tr>
      <w:tr>
        <w:tc>
          <w:tcPr>
            <w:tcW w:type="dxa" w:w="5040"/>
            <w:vAlign w:val="top"/>
          </w:tcPr>
          <w:p>
            <w:r>
              <w:t>LM</w:t>
            </w:r>
          </w:p>
        </w:tc>
        <w:tc>
          <w:tcPr>
            <w:tcW w:type="dxa" w:w="5040"/>
            <w:vAlign w:val="top"/>
          </w:tcPr>
          <w:p>
            <w:r>
              <w:t>Highest caution. Confirm that LM means lateral mammillary nucleus/body before ordering probes.</w:t>
            </w:r>
          </w:p>
        </w:tc>
      </w:tr>
      <w:tr>
        <w:tc>
          <w:tcPr>
            <w:tcW w:type="dxa" w:w="5040"/>
            <w:vAlign w:val="top"/>
          </w:tcPr>
          <w:p>
            <w:r>
              <w:t>RE</w:t>
            </w:r>
          </w:p>
        </w:tc>
        <w:tc>
          <w:tcPr>
            <w:tcW w:type="dxa" w:w="5040"/>
            <w:vAlign w:val="top"/>
          </w:tcPr>
          <w:p>
            <w:r>
              <w:t>Validate reuniens-specific glutamatergic clusters and exclude reticular/inhibitory thalamic populations.</w:t>
            </w:r>
          </w:p>
        </w:tc>
      </w:tr>
      <w:tr>
        <w:tc>
          <w:tcPr>
            <w:tcW w:type="dxa" w:w="5040"/>
            <w:vAlign w:val="top"/>
          </w:tcPr>
          <w:p>
            <w:r>
              <w:t>CP</w:t>
            </w:r>
          </w:p>
        </w:tc>
        <w:tc>
          <w:tcPr>
            <w:tcW w:type="dxa" w:w="5040"/>
            <w:vAlign w:val="top"/>
          </w:tcPr>
          <w:p>
            <w:r>
              <w:t>Lowest risk; D1/D2 SPN biology is strong, but patch/matrix subtypes still need spatial validation.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ORBm</w:t>
            </w:r>
          </w:p>
        </w:tc>
        <w:tc>
          <w:tcPr>
            <w:tcW w:type="dxa" w:w="5040"/>
            <w:vAlign w:val="top"/>
          </w:tcPr>
          <w:p>
            <w:r>
              <w:t>Cortical taxonomy is strong; area-specific GPCR ranking requires Allen extraction.</w:t>
            </w:r>
          </w:p>
        </w:tc>
      </w:tr>
      <w:tr>
        <w:tc>
          <w:tcPr>
            <w:tcW w:type="dxa" w:w="5040"/>
            <w:vAlign w:val="top"/>
          </w:tcPr>
          <w:p>
            <w:r>
              <w:t>AId (capital I; verify not Ald)</w:t>
            </w:r>
          </w:p>
        </w:tc>
        <w:tc>
          <w:tcPr>
            <w:tcW w:type="dxa" w:w="5040"/>
            <w:vAlign w:val="top"/>
          </w:tcPr>
          <w:p>
            <w:r>
              <w:t>Confirm original Ald vs AId (capital I; verify not Ald) and validate insula-specific spatial mapping.</w:t>
            </w:r>
          </w:p>
        </w:tc>
      </w:tr>
    </w:tbl>
    <w:p>
      <w:pPr>
        <w:pStyle w:val="Heading1"/>
      </w:pPr>
      <w:r>
        <w:t>9. Package files</w:t>
      </w:r>
    </w:p>
    <w:p>
      <w:r>
        <w:t>The accompanying ZIP package includes Markdown documentation, input templates, Python scripts for modules A-D, and a MATLAB review script.</w:t>
      </w:r>
    </w:p>
    <w:p>
      <w:pPr>
        <w:pStyle w:val="Heading1"/>
      </w:pPr>
      <w:r>
        <w:t>10. Official source links</w:t>
      </w:r>
    </w:p>
    <w:p>
      <w:r>
        <w:t>https://alleninstitute.github.io/abc_atlas_access/notebooks/getting_started.html</w:t>
      </w:r>
    </w:p>
    <w:p>
      <w:r>
        <w:t>https://alleninstitute.github.io/abc_atlas_access/descriptions/WMB_dataset.html</w:t>
      </w:r>
    </w:p>
    <w:p>
      <w:r>
        <w:t>https://alleninstitute.github.io/abc_atlas_access/descriptions/Consensus-WMB-dataset.html</w:t>
      </w:r>
    </w:p>
    <w:p>
      <w:r>
        <w:t>https://alleninstitute.github.io/abc_atlas_access/notebooks/general_accessing_10x_snRNASeq_tutorial.html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