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Re: Modeling active vs passive opioid seeking</w:t>
      </w:r>
    </w:p>
    <w:p>
      <w:pPr>
        <w:pStyle w:val="Heading2"/>
      </w:pPr>
      <w:r>
        <w:t>Agreement</w:t>
      </w:r>
    </w:p>
    <w:p>
      <w:r>
        <w:t>Thank you again — this is very helpful. I agree that mice may not explicitly represent the full PR schedule. A drift-like model in which each lick updates an internal valuation/engagement state is a good first implementation. This matches our hypothesis that opioid seeking reflects a low-dimensional latent motivational state.</w:t>
      </w:r>
    </w:p>
    <w:p>
      <w:pPr>
        <w:pStyle w:val="Heading2"/>
      </w:pPr>
      <w:r>
        <w:t>Hidden value vs lick rate</w:t>
      </w:r>
    </w:p>
    <w:p>
      <w:r>
        <w:t>Since x can become negative, I suggest treating x_t as a hidden motivational value and modeling licking as output:</w:t>
      </w:r>
    </w:p>
    <w:p/>
    <w:p>
      <w:r>
        <w:t xml:space="preserve">    dx/dt = (α + r(t)) / τ  +  (σ/τ) · noise</w:t>
      </w:r>
    </w:p>
    <w:p>
      <w:r>
        <w:t xml:space="preserve">    lick rate λ_t = softplus(x_t)   OR   P(lick) = logistic(x_t)</w:t>
      </w:r>
    </w:p>
    <w:p/>
    <w:p>
      <w:r>
        <w:t>Crossing a lower threshold can mean disengagement.</w:t>
      </w:r>
    </w:p>
    <w:p>
      <w:pPr>
        <w:pStyle w:val="Heading2"/>
      </w:pPr>
      <w:r>
        <w:t>Reward input</w:t>
      </w:r>
    </w:p>
    <w:p>
      <w:r>
        <w:t>Per lick:</w:t>
      </w:r>
    </w:p>
    <w:p>
      <w:r>
        <w:t xml:space="preserve">    r(t) = +R  if rewarded</w:t>
      </w:r>
    </w:p>
    <w:p>
      <w:r>
        <w:t xml:space="preserve">    r(t) = −L  if unrewarded</w:t>
      </w:r>
    </w:p>
    <w:p/>
    <w:p>
      <w:r>
        <w:t>PR smoothed (T = current requirement):</w:t>
      </w:r>
    </w:p>
    <w:p>
      <w:r>
        <w:t xml:space="preserve">    r(t) ≈ R·(1/T) − L·((T−1)/T)</w:t>
      </w:r>
    </w:p>
    <w:p>
      <w:pPr>
        <w:pStyle w:val="Heading2"/>
      </w:pPr>
      <w:r>
        <w:t>Model comparison (staged)</w:t>
      </w:r>
    </w:p>
    <w:p>
      <w:r>
        <w:t>1. Single-state drift model (your minimal start)</w:t>
      </w:r>
    </w:p>
    <w:p>
      <w:r>
        <w:t>2. Hidden-value output model (x_t → λ_t)</w:t>
      </w:r>
    </w:p>
    <w:p>
      <w:r>
        <w:t>3. Dual-state: V_t reward/action value, D_t deficit; seek if V_t − D_t &gt; θ</w:t>
      </w:r>
    </w:p>
    <w:p>
      <w:r>
        <w:t>4. Passive extension: Pavlovian context × withdrawal gain (PIT-like withdrawal seeking)</w:t>
      </w:r>
    </w:p>
    <w:p>
      <w:pPr>
        <w:pStyle w:val="Heading2"/>
      </w:pPr>
      <w:r>
        <w:t>Passive group</w:t>
      </w:r>
    </w:p>
    <w:p>
      <w:r>
        <w:t>Passive is not only control — it may reflect patient-relevant passive exposure → later vulnerability. Elevated withdrawal PR in passive mice may reflect PIT-like generalized invigoration, distinct from active contingency-dependent rebound at re-exposure.</w:t>
      </w:r>
    </w:p>
    <w:p>
      <w:pPr>
        <w:pStyle w:val="Heading2"/>
      </w:pPr>
      <w:r>
        <w:t>Meeting</w:t>
      </w:r>
    </w:p>
    <w:p>
      <w:r>
        <w:t>I can share raw data with newer lockout timing. I may not make CNC tomorrow; Thursday morning at CNC or Friday works better (in person or Zoom).</w:t>
      </w:r>
    </w:p>
    <w:p>
      <w:r>
        <w:t>Best,</w:t>
        <w:br/>
        <w:t>Hansol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