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Инструкция пользователя</w:t>
      </w:r>
    </w:p>
    <w:p>
      <w:pPr>
        <w:pStyle w:val="Subtitle"/>
        <w:jc w:val="left"/>
      </w:pPr>
      <w:r>
        <w:t>Модуль «Согласование договоров»</w:t>
      </w:r>
    </w:p>
    <w:tbl>
      <w:tblPr>
        <w:tblW w:type="dxa" w:w="134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440"/>
      </w:tblGrid>
      <w:tr>
        <w:trPr>
          <w:cantSplit/>
          <w:tblHeader/>
        </w:trPr>
        <w:tc>
          <w:tcPr>
            <w:tcW w:type="dxa" w:w="1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 w:cs="Calibri"/>
                <w:b/>
                <w:color w:val="232D3A"/>
                <w:sz w:val="20"/>
              </w:rPr>
              <w:t>Для кого инструкция</w:t>
            </w:r>
          </w:p>
          <w:p>
            <w:pPr>
              <w:spacing w:after="0"/>
            </w:pPr>
            <w:r>
              <w:rPr>
                <w:rFonts w:ascii="Calibri" w:hAnsi="Calibri" w:cs="Calibri"/>
                <w:color w:val="232D3A"/>
                <w:sz w:val="20"/>
              </w:rPr>
              <w:t>Документ описывает рабочие действия инициатора договора, руководителя службы безопасности, юриста, финансового директора, главного бухгалтера и офис-менеджера. Технические настройки и управление пользователями здесь не рассматриваются.</w:t>
            </w:r>
          </w:p>
        </w:tc>
      </w:tr>
    </w:tbl>
    <w:p/>
    <w:p>
      <w:pPr>
        <w:pStyle w:val="Heading1"/>
      </w:pPr>
      <w:r>
        <w:t>1. Общая схема процесса</w:t>
      </w:r>
    </w:p>
    <w:tbl>
      <w:tblPr>
        <w:tblW w:type="dxa" w:w="134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3150"/>
        <w:gridCol w:w="9640"/>
      </w:tblGrid>
      <w:tr>
        <w:trPr>
          <w:cantSplit/>
          <w:tblHeader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cs="Calibri"/>
                <w:b/>
                <w:color w:val="1F4D78"/>
                <w:sz w:val="18"/>
              </w:rPr>
              <w:t>Шаг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cs="Calibri"/>
                <w:b/>
                <w:color w:val="1F4D78"/>
                <w:sz w:val="18"/>
              </w:rPr>
              <w:t>Кто выполняет</w:t>
            </w:r>
          </w:p>
        </w:tc>
        <w:tc>
          <w:tcPr>
            <w:tcW w:type="dxa" w:w="9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cs="Calibri"/>
                <w:b/>
                <w:color w:val="1F4D78"/>
                <w:sz w:val="18"/>
              </w:rPr>
              <w:t>Что происходит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hAnsi="Calibri" w:cs="Calibri"/>
                <w:sz w:val="18"/>
              </w:rPr>
              <w:t>1</w:t>
            </w:r>
          </w:p>
        </w:tc>
        <w:tc>
          <w:tcPr>
            <w:tcW w:type="dxa" w:w="3150"/>
          </w:tcPr>
          <w:p>
            <w:r>
              <w:rPr>
                <w:rFonts w:ascii="Calibri" w:hAnsi="Calibri" w:cs="Calibri"/>
                <w:sz w:val="18"/>
              </w:rPr>
              <w:t>Инициатор</w:t>
            </w:r>
          </w:p>
        </w:tc>
        <w:tc>
          <w:tcPr>
            <w:tcW w:type="dxa" w:w="9640"/>
          </w:tcPr>
          <w:p>
            <w:r>
              <w:rPr>
                <w:rFonts w:ascii="Calibri" w:hAnsi="Calibri" w:cs="Calibri"/>
                <w:sz w:val="18"/>
              </w:rPr>
              <w:t>Создаёт договор или дополнительное соглашение, заполняет карточку, прикладывает файлы и отправляет на согласование.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hAnsi="Calibri" w:cs="Calibri"/>
                <w:sz w:val="18"/>
              </w:rPr>
              <w:t>2</w:t>
            </w:r>
          </w:p>
        </w:tc>
        <w:tc>
          <w:tcPr>
            <w:tcW w:type="dxa" w:w="3150"/>
          </w:tcPr>
          <w:p>
            <w:r>
              <w:rPr>
                <w:rFonts w:ascii="Calibri" w:hAnsi="Calibri" w:cs="Calibri"/>
                <w:sz w:val="18"/>
              </w:rPr>
              <w:t>Руководитель службы безопасности</w:t>
            </w:r>
          </w:p>
        </w:tc>
        <w:tc>
          <w:tcPr>
            <w:tcW w:type="dxa" w:w="9640"/>
          </w:tcPr>
          <w:p>
            <w:r>
              <w:rPr>
                <w:rFonts w:ascii="Calibri" w:hAnsi="Calibri" w:cs="Calibri"/>
                <w:sz w:val="18"/>
              </w:rPr>
              <w:t>Проверяет договор и ставит визу: согласован, согласован с замечаниями или не согласован.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hAnsi="Calibri" w:cs="Calibri"/>
                <w:sz w:val="18"/>
              </w:rPr>
              <w:t>3</w:t>
            </w:r>
          </w:p>
        </w:tc>
        <w:tc>
          <w:tcPr>
            <w:tcW w:type="dxa" w:w="3150"/>
          </w:tcPr>
          <w:p>
            <w:r>
              <w:rPr>
                <w:rFonts w:ascii="Calibri" w:hAnsi="Calibri" w:cs="Calibri"/>
                <w:sz w:val="18"/>
              </w:rPr>
              <w:t>Юрист, финансовый директор, главный бухгалтер</w:t>
            </w:r>
          </w:p>
        </w:tc>
        <w:tc>
          <w:tcPr>
            <w:tcW w:type="dxa" w:w="9640"/>
          </w:tcPr>
          <w:p>
            <w:r>
              <w:rPr>
                <w:rFonts w:ascii="Calibri" w:hAnsi="Calibri" w:cs="Calibri"/>
                <w:sz w:val="18"/>
              </w:rPr>
              <w:t>Для расходных договоров и доходных договоров с ПСР согласуют договор параллельно. Каждый участник ставит свою визу независимо от остальных.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hAnsi="Calibri" w:cs="Calibri"/>
                <w:sz w:val="18"/>
              </w:rPr>
              <w:t>4</w:t>
            </w:r>
          </w:p>
        </w:tc>
        <w:tc>
          <w:tcPr>
            <w:tcW w:type="dxa" w:w="3150"/>
          </w:tcPr>
          <w:p>
            <w:r>
              <w:rPr>
                <w:rFonts w:ascii="Calibri" w:hAnsi="Calibri" w:cs="Calibri"/>
                <w:sz w:val="18"/>
              </w:rPr>
              <w:t>Офис-менеджер</w:t>
            </w:r>
          </w:p>
        </w:tc>
        <w:tc>
          <w:tcPr>
            <w:tcW w:type="dxa" w:w="9640"/>
          </w:tcPr>
          <w:p>
            <w:r>
              <w:rPr>
                <w:rFonts w:ascii="Calibri" w:hAnsi="Calibri" w:cs="Calibri"/>
                <w:sz w:val="18"/>
              </w:rPr>
              <w:t>После сбора обязательных виз распечатывает пакет, передаёт экземпляр генеральному директору на подпись, прикладывает подписанный скан и фиксирует итоговое решение.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hAnsi="Calibri" w:cs="Calibri"/>
                <w:sz w:val="18"/>
              </w:rPr>
              <w:t>5</w:t>
            </w:r>
          </w:p>
        </w:tc>
        <w:tc>
          <w:tcPr>
            <w:tcW w:type="dxa" w:w="3150"/>
          </w:tcPr>
          <w:p>
            <w:r>
              <w:rPr>
                <w:rFonts w:ascii="Calibri" w:hAnsi="Calibri" w:cs="Calibri"/>
                <w:sz w:val="18"/>
              </w:rPr>
              <w:t>Участники процесса</w:t>
            </w:r>
          </w:p>
        </w:tc>
        <w:tc>
          <w:tcPr>
            <w:tcW w:type="dxa" w:w="9640"/>
          </w:tcPr>
          <w:p>
            <w:r>
              <w:rPr>
                <w:rFonts w:ascii="Calibri" w:hAnsi="Calibri" w:cs="Calibri"/>
                <w:sz w:val="18"/>
              </w:rPr>
              <w:t>Используют обсуждение в карточке договора для уточнений и файлов, не перезапуская согласование.</w:t>
            </w:r>
          </w:p>
        </w:tc>
      </w:tr>
    </w:tbl>
    <w:p/>
    <w:tbl>
      <w:tblPr>
        <w:tblW w:type="dxa" w:w="134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440"/>
      </w:tblGrid>
      <w:tr>
        <w:trPr>
          <w:cantSplit/>
          <w:tblHeader/>
        </w:trPr>
        <w:tc>
          <w:tcPr>
            <w:tcW w:type="dxa" w:w="1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 w:cs="Calibri"/>
                <w:b/>
                <w:color w:val="232D3A"/>
                <w:sz w:val="20"/>
              </w:rPr>
              <w:t>Главное правило</w:t>
            </w:r>
          </w:p>
          <w:p>
            <w:pPr>
              <w:spacing w:after="0"/>
            </w:pPr>
            <w:r>
              <w:rPr>
                <w:rFonts w:ascii="Calibri" w:hAnsi="Calibri" w:cs="Calibri"/>
                <w:color w:val="232D3A"/>
                <w:sz w:val="20"/>
              </w:rPr>
              <w:t>После того как обязательный круг участников поставил визы, договор переходит офис-менеджеру независимо от того, были визы положительными, с замечаниями или отрицательными. Финальный результат фиксируется после физической подписи или отказа от подписания.</w:t>
            </w:r>
          </w:p>
        </w:tc>
      </w:tr>
    </w:tbl>
    <w:p/>
    <w:p>
      <w:pPr>
        <w:pStyle w:val="Heading1"/>
      </w:pPr>
      <w:r>
        <w:t>2. Рабочий экран инициатора</w:t>
      </w:r>
    </w:p>
    <w:p>
      <w:r>
        <w:t>На вкладке «Мои договоры» видны договоры и дополнительные соглашения, с которыми работает инициатор. Строка открывается двойным кликом. Кнопки «Добавить» и «Импорт» раскрывают меню действий.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58353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y-contrac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835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/>
          <w:i/>
          <w:color w:val="626C78"/>
          <w:sz w:val="18"/>
        </w:rPr>
        <w:t>Вкладка «Мои договоры»: рабочий список договоров инициатора.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503920" cy="5594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dd-men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5594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/>
          <w:i/>
          <w:color w:val="626C78"/>
          <w:sz w:val="18"/>
        </w:rPr>
        <w:t>Меню «Добавить»: создание основного договора или дополнительного соглашения.</w:t>
      </w:r>
    </w:p>
    <w:p>
      <w:r>
        <w:br w:type="page"/>
      </w:r>
    </w:p>
    <w:p>
      <w:pPr>
        <w:pStyle w:val="Heading1"/>
      </w:pPr>
      <w:r>
        <w:t>3. Создание договора</w:t>
      </w:r>
    </w:p>
    <w:p>
      <w:r>
        <w:t>Новый договор создаётся через «Добавить» → «Договор». Первый экран нужен для определения контрагента и типа документа.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031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new-contract-step-in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03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/>
          <w:i/>
          <w:color w:val="626C78"/>
          <w:sz w:val="18"/>
        </w:rPr>
        <w:t>Первый шаг мастера: ИНН, контрагент, вид документа и тип договора.</w:t>
      </w:r>
    </w:p>
    <w:p>
      <w:pPr>
        <w:pStyle w:val="Heading2"/>
      </w:pPr>
      <w:r>
        <w:t>Порядок действий инициатора</w:t>
      </w:r>
    </w:p>
    <w:p>
      <w:pPr>
        <w:spacing w:after="60"/>
        <w:ind w:left="504" w:hanging="317"/>
      </w:pPr>
      <w:r>
        <w:rPr>
          <w:rFonts w:ascii="Calibri" w:hAnsi="Calibri" w:cs="Calibri"/>
          <w:color w:val="232D3A"/>
          <w:sz w:val="20"/>
        </w:rPr>
        <w:t>1.  Введите ИНН контрагента. Если данные из ФНС подтянулись не полностью, заполните доступные поля вручную.</w:t>
      </w:r>
    </w:p>
    <w:p>
      <w:pPr>
        <w:spacing w:after="60"/>
        <w:ind w:left="504" w:hanging="317"/>
      </w:pPr>
      <w:r>
        <w:rPr>
          <w:rFonts w:ascii="Calibri" w:hAnsi="Calibri" w:cs="Calibri"/>
          <w:color w:val="232D3A"/>
          <w:sz w:val="20"/>
        </w:rPr>
        <w:t>2.  Проверьте наименование и краткое наименование контрагента.</w:t>
      </w:r>
    </w:p>
    <w:p>
      <w:pPr>
        <w:spacing w:after="60"/>
        <w:ind w:left="504" w:hanging="317"/>
      </w:pPr>
      <w:r>
        <w:rPr>
          <w:rFonts w:ascii="Calibri" w:hAnsi="Calibri" w:cs="Calibri"/>
          <w:color w:val="232D3A"/>
          <w:sz w:val="20"/>
        </w:rPr>
        <w:t>3.  Выберите тип договора: расходный или доходный. Для доходного договора выберите подтип: с ПСР или без ПСР.</w:t>
      </w:r>
    </w:p>
    <w:p>
      <w:pPr>
        <w:spacing w:after="60"/>
        <w:ind w:left="504" w:hanging="317"/>
      </w:pPr>
      <w:r>
        <w:rPr>
          <w:rFonts w:ascii="Calibri" w:hAnsi="Calibri" w:cs="Calibri"/>
          <w:color w:val="232D3A"/>
          <w:sz w:val="20"/>
        </w:rPr>
        <w:t>4.  Нажмите «Проверить». Если система нашла похожие договоры, откройте их и убедитесь, что новый договор действительно нужен.</w:t>
      </w:r>
    </w:p>
    <w:p>
      <w:pPr>
        <w:spacing w:after="60"/>
        <w:ind w:left="504" w:hanging="317"/>
      </w:pPr>
      <w:r>
        <w:rPr>
          <w:rFonts w:ascii="Calibri" w:hAnsi="Calibri" w:cs="Calibri"/>
          <w:color w:val="232D3A"/>
          <w:sz w:val="20"/>
        </w:rPr>
        <w:t>5.  Заполните номер, дату, предмет договора и способ подписания. Для доходных договоров номер присваивается автоматически при отправке.</w:t>
      </w:r>
    </w:p>
    <w:p>
      <w:pPr>
        <w:pStyle w:val="Heading2"/>
      </w:pPr>
      <w:r>
        <w:t>Доходный договор и ПСР</w:t>
      </w:r>
    </w:p>
    <w:p>
      <w:r>
        <w:t>Для доходного договора система формирует файл договора по проформе. Если договор с ПСР, на шаге файлов приложите ПСР клиента и другие сопроводительные документы.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1546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income-requisi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5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/>
          <w:i/>
          <w:color w:val="626C78"/>
          <w:sz w:val="18"/>
        </w:rPr>
        <w:t>Шаг реквизитов доходного договора: данные для автогенерации документа.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income-files-ste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/>
          <w:i/>
          <w:color w:val="626C78"/>
          <w:sz w:val="18"/>
        </w:rPr>
        <w:t>Шаг файлов для доходного договора с ПСР: договор сформируется автоматически, ПСР прикладывается отдельно.</w:t>
      </w:r>
    </w:p>
    <w:p>
      <w:r>
        <w:br w:type="page"/>
      </w:r>
    </w:p>
    <w:p>
      <w:pPr>
        <w:pStyle w:val="Heading1"/>
      </w:pPr>
      <w:r>
        <w:t>4. Дополнительные соглашения и импорт</w:t>
      </w:r>
    </w:p>
    <w:p>
      <w:pPr>
        <w:pStyle w:val="ListBullet"/>
      </w:pPr>
      <w:r>
        <w:t>Дополнительное соглашение создаётся через «Добавить» → «Доп. соглашение».</w:t>
      </w:r>
    </w:p>
    <w:p>
      <w:pPr>
        <w:pStyle w:val="ListBullet"/>
      </w:pPr>
      <w:r>
        <w:t>При создании дополнительного соглашения выберите основной договор, к которому оно относится. Список ограничивается договорами того же контрагента и подходящего типа.</w:t>
      </w:r>
    </w:p>
    <w:p>
      <w:pPr>
        <w:pStyle w:val="ListBullet"/>
      </w:pPr>
      <w:r>
        <w:t>Если договор или дополнительное соглашение уже подписаны ранее, используйте «Импорт»: заполните карточку и обязательно приложите подписанный файл.</w:t>
      </w:r>
    </w:p>
    <w:p>
      <w:pPr>
        <w:pStyle w:val="ListBullet"/>
      </w:pPr>
      <w:r>
        <w:t>Импортированный документ не проходит согласование; в истории решений будет указано, что документ внесён как ранее подписанный.</w:t>
      </w:r>
    </w:p>
    <w:tbl>
      <w:tblPr>
        <w:tblW w:type="dxa" w:w="134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3150"/>
        <w:gridCol w:w="9640"/>
      </w:tblGrid>
      <w:tr>
        <w:trPr>
          <w:cantSplit/>
          <w:tblHeader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cs="Calibri"/>
                <w:b/>
                <w:color w:val="1F4D78"/>
                <w:sz w:val="18"/>
              </w:rPr>
              <w:t>Шаг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cs="Calibri"/>
                <w:b/>
                <w:color w:val="1F4D78"/>
                <w:sz w:val="18"/>
              </w:rPr>
              <w:t>Кто выполняет</w:t>
            </w:r>
          </w:p>
        </w:tc>
        <w:tc>
          <w:tcPr>
            <w:tcW w:type="dxa" w:w="9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cs="Calibri"/>
                <w:b/>
                <w:color w:val="1F4D78"/>
                <w:sz w:val="18"/>
              </w:rPr>
              <w:t>Что происходит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hAnsi="Calibri" w:cs="Calibri"/>
                <w:sz w:val="18"/>
              </w:rPr>
              <w:t>1</w:t>
            </w:r>
          </w:p>
        </w:tc>
        <w:tc>
          <w:tcPr>
            <w:tcW w:type="dxa" w:w="3150"/>
          </w:tcPr>
          <w:p>
            <w:r>
              <w:rPr>
                <w:rFonts w:ascii="Calibri" w:hAnsi="Calibri" w:cs="Calibri"/>
                <w:sz w:val="18"/>
              </w:rPr>
              <w:t>Инициатор</w:t>
            </w:r>
          </w:p>
        </w:tc>
        <w:tc>
          <w:tcPr>
            <w:tcW w:type="dxa" w:w="9640"/>
          </w:tcPr>
          <w:p>
            <w:r>
              <w:rPr>
                <w:rFonts w:ascii="Calibri" w:hAnsi="Calibri" w:cs="Calibri"/>
                <w:sz w:val="18"/>
              </w:rPr>
              <w:t>Для дополнительного соглашения выбирает основной договор, проверяет контрагента и прикладывает файл соглашения.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hAnsi="Calibri" w:cs="Calibri"/>
                <w:sz w:val="18"/>
              </w:rPr>
              <w:t>2</w:t>
            </w:r>
          </w:p>
        </w:tc>
        <w:tc>
          <w:tcPr>
            <w:tcW w:type="dxa" w:w="3150"/>
          </w:tcPr>
          <w:p>
            <w:r>
              <w:rPr>
                <w:rFonts w:ascii="Calibri" w:hAnsi="Calibri" w:cs="Calibri"/>
                <w:sz w:val="18"/>
              </w:rPr>
              <w:t>Инициатор</w:t>
            </w:r>
          </w:p>
        </w:tc>
        <w:tc>
          <w:tcPr>
            <w:tcW w:type="dxa" w:w="9640"/>
          </w:tcPr>
          <w:p>
            <w:r>
              <w:rPr>
                <w:rFonts w:ascii="Calibri" w:hAnsi="Calibri" w:cs="Calibri"/>
                <w:sz w:val="18"/>
              </w:rPr>
              <w:t>Для импортированного подписанного документа заполняет карточку, прикладывает подписанный файл и сохраняет запись в реестр.</w:t>
            </w:r>
          </w:p>
        </w:tc>
      </w:tr>
      <w:tr>
        <w:tc>
          <w:tcPr>
            <w:tcW w:type="dxa" w:w="650"/>
          </w:tcPr>
          <w:p>
            <w:r>
              <w:rPr>
                <w:rFonts w:ascii="Calibri" w:hAnsi="Calibri" w:cs="Calibri"/>
                <w:sz w:val="18"/>
              </w:rPr>
              <w:t>3</w:t>
            </w:r>
          </w:p>
        </w:tc>
        <w:tc>
          <w:tcPr>
            <w:tcW w:type="dxa" w:w="3150"/>
          </w:tcPr>
          <w:p>
            <w:r>
              <w:rPr>
                <w:rFonts w:ascii="Calibri" w:hAnsi="Calibri" w:cs="Calibri"/>
                <w:sz w:val="18"/>
              </w:rPr>
              <w:t>Участники процесса</w:t>
            </w:r>
          </w:p>
        </w:tc>
        <w:tc>
          <w:tcPr>
            <w:tcW w:type="dxa" w:w="9640"/>
          </w:tcPr>
          <w:p>
            <w:r>
              <w:rPr>
                <w:rFonts w:ascii="Calibri" w:hAnsi="Calibri" w:cs="Calibri"/>
                <w:sz w:val="18"/>
              </w:rPr>
              <w:t>По импортированным документам не ставят визы: такие записи нужны для архива и поиска подписанных документов.</w:t>
            </w:r>
          </w:p>
        </w:tc>
      </w:tr>
    </w:tbl>
    <w:p/>
    <w:p>
      <w:r>
        <w:br w:type="page"/>
      </w:r>
    </w:p>
    <w:p>
      <w:pPr>
        <w:pStyle w:val="Heading1"/>
      </w:pPr>
      <w:r>
        <w:t>5. Карточка договора</w:t>
      </w:r>
    </w:p>
    <w:p>
      <w:r>
        <w:t>Карточка открывается двойным кликом по строке. В ней видны реквизиты, файлы, ход согласования, история решений и обсуждение.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63840" cy="58398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ntract-card-over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5839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/>
          <w:i/>
          <w:color w:val="626C78"/>
          <w:sz w:val="18"/>
        </w:rPr>
        <w:t>Карточка подписанного договора: лист согласования, файлы и ход процесса.</w:t>
      </w:r>
    </w:p>
    <w:p>
      <w:pPr>
        <w:pStyle w:val="ListBullet"/>
      </w:pPr>
      <w:r>
        <w:t>Кнопка «История решений» показывает журнал виз и изменений.</w:t>
      </w:r>
    </w:p>
    <w:p>
      <w:pPr>
        <w:pStyle w:val="ListBullet"/>
      </w:pPr>
      <w:r>
        <w:t>Файлы договора открываются из блока «Документы договора».</w:t>
      </w:r>
    </w:p>
    <w:p>
      <w:pPr>
        <w:pStyle w:val="ListBullet"/>
      </w:pPr>
      <w:r>
        <w:t>Ход согласования показывает, кто уже поставил визу и какие комментарии оставлены.</w:t>
      </w:r>
    </w:p>
    <w:p>
      <w:r>
        <w:br w:type="page"/>
      </w:r>
    </w:p>
    <w:p>
      <w:pPr>
        <w:pStyle w:val="Heading1"/>
      </w:pPr>
      <w:r>
        <w:t>6. Обсуждение договора</w:t>
      </w:r>
    </w:p>
    <w:p>
      <w:r>
        <w:t>Обсуждение используется для рабочих уточнений без возврата договора на новый круг: запросить приложение, уточнить реквизиты, приложить поясняющий файл.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55279" cy="59077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ntract-discuss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5907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/>
          <w:i/>
          <w:color w:val="626C78"/>
          <w:sz w:val="18"/>
        </w:rPr>
        <w:t>Обсуждение в карточке: сообщения, вложения и поле ввода.</w:t>
      </w:r>
    </w:p>
    <w:p>
      <w:pPr>
        <w:pStyle w:val="ListBullet"/>
      </w:pPr>
      <w:r>
        <w:t>Введите текст сообщения в поле «Сообщение».</w:t>
      </w:r>
    </w:p>
    <w:p>
      <w:pPr>
        <w:pStyle w:val="ListBullet"/>
      </w:pPr>
      <w:r>
        <w:t>Для упоминания участника начните ввод с символа @ и выберите человека из списка.</w:t>
      </w:r>
    </w:p>
    <w:p>
      <w:pPr>
        <w:pStyle w:val="ListBullet"/>
      </w:pPr>
      <w:r>
        <w:t>К сообщению можно приложить файлы: PDF, DOC, DOCX, PNG, JPG/JPEG.</w:t>
      </w:r>
    </w:p>
    <w:p>
      <w:pPr>
        <w:pStyle w:val="ListBullet"/>
      </w:pPr>
      <w:r>
        <w:t>После финального статуса договора обсуждение остаётся доступным только для чтения.</w:t>
      </w:r>
    </w:p>
    <w:p>
      <w:pPr>
        <w:pStyle w:val="Heading1"/>
      </w:pPr>
      <w:r>
        <w:t>7. Работа руководителя службы безопасности</w:t>
      </w:r>
    </w:p>
    <w:p>
      <w:r>
        <w:t>На вкладке «Согласование договоров» руководитель службы безопасности видит договоры, ожидающие проверки. Договор открывается двойным кликом.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17339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ecurity-inbo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1733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/>
          <w:i/>
          <w:color w:val="626C78"/>
          <w:sz w:val="18"/>
        </w:rPr>
        <w:t>Список договоров на проверке руководителя службы безопасности.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55279" cy="54839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ecurity-decision-c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5483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/>
          <w:i/>
          <w:color w:val="626C78"/>
          <w:sz w:val="18"/>
        </w:rPr>
        <w:t>Карточка задачи руководителя службы безопасности: выбор решения, комментарий, прикрепление файла.</w:t>
      </w:r>
    </w:p>
    <w:p>
      <w:pPr>
        <w:pStyle w:val="ListBullet"/>
      </w:pPr>
      <w:r>
        <w:t>Выберите решение: «Согласован», «Согласован с замечаниями» или «Не согласован».</w:t>
      </w:r>
    </w:p>
    <w:p>
      <w:pPr>
        <w:pStyle w:val="ListBullet"/>
      </w:pPr>
      <w:r>
        <w:t>При решении с замечаниями заполните комментарий.</w:t>
      </w:r>
    </w:p>
    <w:p>
      <w:pPr>
        <w:pStyle w:val="ListBullet"/>
      </w:pPr>
      <w:r>
        <w:t>Если нужно приложить подтверждающий документ, используйте «Прикрепить файл» в строке своей визы.</w:t>
      </w:r>
    </w:p>
    <w:p>
      <w:r>
        <w:br w:type="page"/>
      </w:r>
    </w:p>
    <w:p>
      <w:pPr>
        <w:pStyle w:val="Heading1"/>
      </w:pPr>
      <w:r>
        <w:t>8. Работа юриста, финансового директора и главного бухгалтера</w:t>
      </w:r>
    </w:p>
    <w:p>
      <w:r>
        <w:t>Для этих участников экран одинаковый: список договоров на согласовании и карточка с выбором решения. Для расходных договоров и доходных договоров с ПСР задачи идут параллельно.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17339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pproval-inbox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1733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/>
          <w:i/>
          <w:color w:val="626C78"/>
          <w:sz w:val="18"/>
        </w:rPr>
        <w:t>Список договоров у согласующего участника.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55279" cy="548392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pproval-decision-ca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5483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/>
          <w:i/>
          <w:color w:val="626C78"/>
          <w:sz w:val="18"/>
        </w:rPr>
        <w:t>Карточка согласующего: решение, комментарий и прикрепление файла.</w:t>
      </w:r>
    </w:p>
    <w:p>
      <w:pPr>
        <w:pStyle w:val="ListBullet"/>
      </w:pPr>
      <w:r>
        <w:t>Откройте договор двойным кликом.</w:t>
      </w:r>
    </w:p>
    <w:p>
      <w:pPr>
        <w:pStyle w:val="ListBullet"/>
      </w:pPr>
      <w:r>
        <w:t>Просмотрите файлы договора и ход согласования.</w:t>
      </w:r>
    </w:p>
    <w:p>
      <w:pPr>
        <w:pStyle w:val="ListBullet"/>
      </w:pPr>
      <w:r>
        <w:t>Выберите решение. Если выбираете «Согласован с замечаниями», комментарий обязателен.</w:t>
      </w:r>
    </w:p>
    <w:p>
      <w:pPr>
        <w:pStyle w:val="ListBullet"/>
      </w:pPr>
      <w:r>
        <w:t>Нажмите «Сохранить решение».</w:t>
      </w:r>
    </w:p>
    <w:p>
      <w:r>
        <w:br w:type="page"/>
      </w:r>
    </w:p>
    <w:p>
      <w:pPr>
        <w:pStyle w:val="Heading1"/>
      </w:pPr>
      <w:r>
        <w:t>9. Работа офис-менеджера</w:t>
      </w:r>
    </w:p>
    <w:p>
      <w:r>
        <w:t>Когда обязательные визы собраны, договор переходит офис-менеджеру на этап физической подписи.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160054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ecretary-inbox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1600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/>
          <w:i/>
          <w:color w:val="626C78"/>
          <w:sz w:val="18"/>
        </w:rPr>
        <w:t>Список договоров, ожидающих действий офис-менеджера.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49440" cy="512663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secretary-task-car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512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/>
          <w:i/>
          <w:color w:val="626C78"/>
          <w:sz w:val="18"/>
        </w:rPr>
        <w:t>Карточка этапа подписи: печатный пакет, подписанный экземпляр и итоговое решение.</w:t>
      </w:r>
    </w:p>
    <w:p>
      <w:pPr>
        <w:spacing w:after="60"/>
        <w:ind w:left="504" w:hanging="317"/>
      </w:pPr>
      <w:r>
        <w:rPr>
          <w:rFonts w:ascii="Calibri" w:hAnsi="Calibri" w:cs="Calibri"/>
          <w:color w:val="232D3A"/>
          <w:sz w:val="20"/>
        </w:rPr>
        <w:t>1.  Откройте договор двойным кликом.</w:t>
      </w:r>
    </w:p>
    <w:p>
      <w:pPr>
        <w:spacing w:after="60"/>
        <w:ind w:left="504" w:hanging="317"/>
      </w:pPr>
      <w:r>
        <w:rPr>
          <w:rFonts w:ascii="Calibri" w:hAnsi="Calibri" w:cs="Calibri"/>
          <w:color w:val="232D3A"/>
          <w:sz w:val="20"/>
        </w:rPr>
        <w:t>2.  Нажмите «Распечатать договор», чтобы сформировать печатный пакет.</w:t>
      </w:r>
    </w:p>
    <w:p>
      <w:pPr>
        <w:spacing w:after="60"/>
        <w:ind w:left="504" w:hanging="317"/>
      </w:pPr>
      <w:r>
        <w:rPr>
          <w:rFonts w:ascii="Calibri" w:hAnsi="Calibri" w:cs="Calibri"/>
          <w:color w:val="232D3A"/>
          <w:sz w:val="20"/>
        </w:rPr>
        <w:t>3.  Передайте распечатанный экземпляр генеральному директору на подпись.</w:t>
      </w:r>
    </w:p>
    <w:p>
      <w:pPr>
        <w:spacing w:after="60"/>
        <w:ind w:left="504" w:hanging="317"/>
      </w:pPr>
      <w:r>
        <w:rPr>
          <w:rFonts w:ascii="Calibri" w:hAnsi="Calibri" w:cs="Calibri"/>
          <w:color w:val="232D3A"/>
          <w:sz w:val="20"/>
        </w:rPr>
        <w:t>4.  После подписания приложите скан подписанного экземпляра.</w:t>
      </w:r>
    </w:p>
    <w:p>
      <w:pPr>
        <w:spacing w:after="60"/>
        <w:ind w:left="504" w:hanging="317"/>
      </w:pPr>
      <w:r>
        <w:rPr>
          <w:rFonts w:ascii="Calibri" w:hAnsi="Calibri" w:cs="Calibri"/>
          <w:color w:val="232D3A"/>
          <w:sz w:val="20"/>
        </w:rPr>
        <w:t>5.  Выберите итоговое решение: «Подписан» или «Не согласован». Если договор не подписан, укажите комментарий.</w:t>
      </w:r>
    </w:p>
    <w:p>
      <w:pPr>
        <w:spacing w:after="60"/>
        <w:ind w:left="504" w:hanging="317"/>
      </w:pPr>
      <w:r>
        <w:rPr>
          <w:rFonts w:ascii="Calibri" w:hAnsi="Calibri" w:cs="Calibri"/>
          <w:color w:val="232D3A"/>
          <w:sz w:val="20"/>
        </w:rPr>
        <w:t>6.  Нажмите кнопку завершения подписи.</w:t>
      </w:r>
    </w:p>
    <w:p>
      <w:r>
        <w:br w:type="page"/>
      </w:r>
    </w:p>
    <w:p>
      <w:pPr>
        <w:pStyle w:val="Heading1"/>
      </w:pPr>
      <w:r>
        <w:t>10. Реестр договоров</w:t>
      </w:r>
    </w:p>
    <w:p>
      <w:r>
        <w:t>Реестр используется для поиска и просмотра договоров. В нём видны статусы, типы, контрагенты и ссылка на подписанный скан, если файл уже приложен.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583531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ontract-registr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835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/>
          <w:i/>
          <w:color w:val="626C78"/>
          <w:sz w:val="18"/>
        </w:rPr>
        <w:t>Реестр договоров: поиск, фильтры, статусы и колонка файла.</w:t>
      </w:r>
    </w:p>
    <w:p>
      <w:pPr>
        <w:pStyle w:val="ListBullet"/>
      </w:pPr>
      <w:r>
        <w:t>Используйте поиск по номеру договора, контрагенту или ИНН.</w:t>
      </w:r>
    </w:p>
    <w:p>
      <w:pPr>
        <w:pStyle w:val="ListBullet"/>
      </w:pPr>
      <w:r>
        <w:t>Фильтр «Статус» помогает найти договоры на согласовании, на подписании, подписанные или отклонённые.</w:t>
      </w:r>
    </w:p>
    <w:p>
      <w:pPr>
        <w:pStyle w:val="ListBullet"/>
      </w:pPr>
      <w:r>
        <w:t>Дополнительные соглашения отображаются рядом с основным договором или раскрываются из строки основного договора.</w:t>
      </w:r>
    </w:p>
    <w:p>
      <w:pPr>
        <w:pStyle w:val="ListBullet"/>
      </w:pPr>
      <w:r>
        <w:t>Если в колонке «Файл» есть ссылка «скан», её можно открыть для просмотра подписанного экземпляра.</w:t>
      </w:r>
    </w:p>
    <w:p>
      <w:pPr>
        <w:pStyle w:val="Heading1"/>
      </w:pPr>
      <w:r>
        <w:t>11. Частые ситуации</w:t>
      </w:r>
    </w:p>
    <w:p>
      <w:pPr>
        <w:pStyle w:val="ListBullet"/>
      </w:pPr>
      <w:r>
        <w:t>ФНС не вернула данные: заполните карточку контрагента вручную и продолжайте создание договора.</w:t>
      </w:r>
    </w:p>
    <w:p>
      <w:pPr>
        <w:pStyle w:val="ListBullet"/>
      </w:pPr>
      <w:r>
        <w:t>Нужно добавить недостающий файл: используйте обсуждение или прикрепление файла в доступном блоке карточки.</w:t>
      </w:r>
    </w:p>
    <w:p>
      <w:pPr>
        <w:pStyle w:val="ListBullet"/>
      </w:pPr>
      <w:r>
        <w:t>Поставлена виза с замечаниями или отрицательная виза: договор всё равно дойдёт до офис-менеджера после завершения обязательного круга.</w:t>
      </w:r>
    </w:p>
    <w:p>
      <w:pPr>
        <w:pStyle w:val="ListBullet"/>
      </w:pPr>
      <w:r>
        <w:t>Договор уже подписан ранее: используйте импорт подписанного договора или импорт подписанного дополнительного соглашения.</w:t>
      </w:r>
    </w:p>
    <w:p>
      <w:pPr>
        <w:pStyle w:val="ListBullet"/>
      </w:pPr>
      <w:r>
        <w:t>Письмо о задаче ведёт на конкретную карточку. Если вход не выполнен, после авторизации откроется нужный экран.</w:t>
      </w:r>
    </w:p>
    <w:p>
      <w:pPr>
        <w:pStyle w:val="Heading1"/>
      </w:pPr>
      <w:r>
        <w:t>12. Короткая памятка</w:t>
      </w:r>
    </w:p>
    <w:tbl>
      <w:tblPr>
        <w:tblW w:type="dxa" w:w="134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9840"/>
      </w:tblGrid>
      <w:tr>
        <w:trPr>
          <w:cantSplit/>
          <w:tblHeader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cs="Calibri"/>
                <w:b/>
                <w:color w:val="1F4D78"/>
                <w:sz w:val="18"/>
              </w:rPr>
              <w:t>Задача</w:t>
            </w:r>
          </w:p>
        </w:tc>
        <w:tc>
          <w:tcPr>
            <w:tcW w:type="dxa" w:w="9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cs="Calibri"/>
                <w:b/>
                <w:color w:val="1F4D78"/>
                <w:sz w:val="18"/>
              </w:rPr>
              <w:t>Где выполнить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 w:cs="Calibri"/>
                <w:sz w:val="18"/>
              </w:rPr>
              <w:t>Создать договор</w:t>
            </w:r>
          </w:p>
        </w:tc>
        <w:tc>
          <w:tcPr>
            <w:tcW w:type="dxa" w:w="9840"/>
          </w:tcPr>
          <w:p>
            <w:r>
              <w:rPr>
                <w:rFonts w:ascii="Calibri" w:hAnsi="Calibri" w:cs="Calibri"/>
                <w:sz w:val="18"/>
              </w:rPr>
              <w:t>«Мои договоры» → «Добавить» → «Договор»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 w:cs="Calibri"/>
                <w:sz w:val="18"/>
              </w:rPr>
              <w:t>Создать дополнительное соглашение</w:t>
            </w:r>
          </w:p>
        </w:tc>
        <w:tc>
          <w:tcPr>
            <w:tcW w:type="dxa" w:w="9840"/>
          </w:tcPr>
          <w:p>
            <w:r>
              <w:rPr>
                <w:rFonts w:ascii="Calibri" w:hAnsi="Calibri" w:cs="Calibri"/>
                <w:sz w:val="18"/>
              </w:rPr>
              <w:t>«Мои договоры» → «Добавить» → «Доп. соглашение»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 w:cs="Calibri"/>
                <w:sz w:val="18"/>
              </w:rPr>
              <w:t>Импортировать подписанный документ</w:t>
            </w:r>
          </w:p>
        </w:tc>
        <w:tc>
          <w:tcPr>
            <w:tcW w:type="dxa" w:w="9840"/>
          </w:tcPr>
          <w:p>
            <w:r>
              <w:rPr>
                <w:rFonts w:ascii="Calibri" w:hAnsi="Calibri" w:cs="Calibri"/>
                <w:sz w:val="18"/>
              </w:rPr>
              <w:t>«Мои договоры» → «Импорт» → нужный вариант импорта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 w:cs="Calibri"/>
                <w:sz w:val="18"/>
              </w:rPr>
              <w:t>Открыть карточку</w:t>
            </w:r>
          </w:p>
        </w:tc>
        <w:tc>
          <w:tcPr>
            <w:tcW w:type="dxa" w:w="9840"/>
          </w:tcPr>
          <w:p>
            <w:r>
              <w:rPr>
                <w:rFonts w:ascii="Calibri" w:hAnsi="Calibri" w:cs="Calibri"/>
                <w:sz w:val="18"/>
              </w:rPr>
              <w:t>Двойной клик по строке договора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 w:cs="Calibri"/>
                <w:sz w:val="18"/>
              </w:rPr>
              <w:t>Поставить визу</w:t>
            </w:r>
          </w:p>
        </w:tc>
        <w:tc>
          <w:tcPr>
            <w:tcW w:type="dxa" w:w="9840"/>
          </w:tcPr>
          <w:p>
            <w:r>
              <w:rPr>
                <w:rFonts w:ascii="Calibri" w:hAnsi="Calibri" w:cs="Calibri"/>
                <w:sz w:val="18"/>
              </w:rPr>
              <w:t>Открыть карточку → выбрать решение → при необходимости комментарий → «Сохранить решение»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 w:cs="Calibri"/>
                <w:sz w:val="18"/>
              </w:rPr>
              <w:t>Написать в обсуждение</w:t>
            </w:r>
          </w:p>
        </w:tc>
        <w:tc>
          <w:tcPr>
            <w:tcW w:type="dxa" w:w="9840"/>
          </w:tcPr>
          <w:p>
            <w:r>
              <w:rPr>
                <w:rFonts w:ascii="Calibri" w:hAnsi="Calibri" w:cs="Calibri"/>
                <w:sz w:val="18"/>
              </w:rPr>
              <w:t>Открыть карточку → блок «Обсуждение» → сообщение → «Отправить»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 w:cs="Calibri"/>
                <w:sz w:val="18"/>
              </w:rPr>
              <w:t>Завершить подпись</w:t>
            </w:r>
          </w:p>
        </w:tc>
        <w:tc>
          <w:tcPr>
            <w:tcW w:type="dxa" w:w="9840"/>
          </w:tcPr>
          <w:p>
            <w:r>
              <w:rPr>
                <w:rFonts w:ascii="Calibri" w:hAnsi="Calibri" w:cs="Calibri"/>
                <w:sz w:val="18"/>
              </w:rPr>
              <w:t>Офис-менеджер: распечатать пакет → получить подпись → приложить скан → выбрать итоговое решение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648" w:right="648" w:bottom="648" w:left="64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cs="Calibri"/>
        <w:color w:val="626C78"/>
        <w:sz w:val="18"/>
      </w:rP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cs="Calibri"/>
        <w:color w:val="626C78"/>
        <w:sz w:val="18"/>
      </w:rPr>
      <w:t>Инструкция пользователя: согласование договоров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83" w:lineRule="auto"/>
    </w:pPr>
    <w:rPr>
      <w:rFonts w:ascii="Calibri" w:hAnsi="Calibri"/>
      <w:color w:val="232D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Calibri" w:hAnsi="Calibri"/>
      <w:i/>
      <w:iCs/>
      <w:color w:val="626C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ind w:left="504" w:hanging="259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ind w:left="504" w:hanging="259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