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 xml:space="preserve">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hr-BA"/>
        </w:rPr>
        <w:t>TRAVNIK, 30.04.2012.</w:t>
      </w:r>
    </w:p>
    <w:p>
      <w:pPr>
        <w:pStyle w:val="ListParagraph"/>
        <w:widowControl w:val="false"/>
        <w:tabs>
          <w:tab w:val="left" w:pos="1594" w:leader="none"/>
          <w:tab w:val="left" w:pos="7935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sz w:val="24"/>
          <w:szCs w:val="24"/>
          <w:lang w:val="hr-B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hr-BA"/>
        </w:rPr>
        <w:tab/>
      </w:r>
    </w:p>
    <w:p>
      <w:pPr>
        <w:pStyle w:val="ListParagraph"/>
        <w:widowControl w:val="false"/>
        <w:tabs>
          <w:tab w:val="left" w:pos="1594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DRUGI TEST IZ PREDMETA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STATISTIKA  A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Prosječna ocjena studenata univerziteta je slučajna varijabla normalno raspoređena sa aritmetičkom sredinom 7,83 I devijacijom 0,76. Za uzorak od 150 studenata izračunali smo prosječnu ocjenu I ona je iznosila 7,72. Testirati hipotezu da je došlo do pada aritmetičke sredine ove varijable u osnovnom skupu sa greškom 0,01.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Ho: M&lt;Mo     H1: M&gt;M1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Zt = 1 - </w:t>
      </w:r>
      <w:r>
        <w:rPr>
          <w:rFonts w:cs="Times New Roman" w:ascii="Cambria Math" w:hAnsi="Cambria Math"/>
          <w:sz w:val="24"/>
          <w:szCs w:val="24"/>
        </w:rPr>
        <w:t>ἀ</w:t>
      </w:r>
      <w:r>
        <w:rPr>
          <w:rFonts w:cs="Times New Roman" w:ascii="Times New Roman" w:hAnsi="Times New Roman"/>
          <w:sz w:val="24"/>
          <w:szCs w:val="24"/>
        </w:rPr>
        <w:t xml:space="preserve"> = 0,99 = 2,33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Zi = 1,576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Zi &lt; Zt    Ho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U proizvodnoj organizaciji imamo uloženu radnu snagu I ostvarenu proizvodnju izraženu u sljedećim jedinicama: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tbl>
      <w:tblPr>
        <w:tblStyle w:val="LightList-Accent2"/>
        <w:tblW w:w="7905" w:type="dxa"/>
        <w:jc w:val="left"/>
        <w:tblInd w:w="1384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1716"/>
        <w:gridCol w:w="1826"/>
        <w:gridCol w:w="1454"/>
        <w:gridCol w:w="1455"/>
        <w:gridCol w:w="1454"/>
      </w:tblGrid>
      <w:tr>
        <w:trPr>
          <w:cnfStyle w:val="100000000000"/>
        </w:trPr>
        <w:tc>
          <w:tcPr>
            <w:tcW w:w="1716" w:type="dxa"/>
            <w:cnfStyle w:val="00100000000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Uložena radna snaga Xi</w:t>
            </w:r>
          </w:p>
        </w:tc>
        <w:tc>
          <w:tcPr>
            <w:tcW w:w="182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Ostvarena proizvodnja Yi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XiYi</w:t>
            </w:r>
          </w:p>
        </w:tc>
        <w:tc>
          <w:tcPr>
            <w:tcW w:w="145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Xi²</w:t>
            </w:r>
          </w:p>
        </w:tc>
        <w:tc>
          <w:tcPr>
            <w:tcW w:w="1454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4"/>
                <w:szCs w:val="24"/>
                <w:lang w:val="hr-BA"/>
              </w:rPr>
              <w:t>Yi²</w:t>
            </w:r>
          </w:p>
        </w:tc>
      </w:tr>
      <w:tr>
        <w:trPr>
          <w:cnfStyle w:val="000000100000"/>
        </w:trPr>
        <w:tc>
          <w:tcPr>
            <w:tcW w:w="1716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3</w:t>
            </w:r>
          </w:p>
        </w:tc>
        <w:tc>
          <w:tcPr>
            <w:tcW w:w="1826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12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36</w:t>
            </w:r>
          </w:p>
        </w:tc>
        <w:tc>
          <w:tcPr>
            <w:tcW w:w="145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9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144</w:t>
            </w:r>
          </w:p>
        </w:tc>
      </w:tr>
      <w:tr>
        <w:trPr/>
        <w:tc>
          <w:tcPr>
            <w:tcW w:w="1716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5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85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25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289</w:t>
            </w:r>
          </w:p>
        </w:tc>
      </w:tr>
      <w:tr>
        <w:trPr>
          <w:cnfStyle w:val="000000100000"/>
        </w:trPr>
        <w:tc>
          <w:tcPr>
            <w:tcW w:w="1716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6</w:t>
            </w:r>
          </w:p>
        </w:tc>
        <w:tc>
          <w:tcPr>
            <w:tcW w:w="1826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19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114</w:t>
            </w:r>
          </w:p>
        </w:tc>
        <w:tc>
          <w:tcPr>
            <w:tcW w:w="145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36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361</w:t>
            </w:r>
          </w:p>
        </w:tc>
      </w:tr>
      <w:tr>
        <w:trPr/>
        <w:tc>
          <w:tcPr>
            <w:tcW w:w="1716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8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168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64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441</w:t>
            </w:r>
          </w:p>
        </w:tc>
      </w:tr>
      <w:tr>
        <w:trPr>
          <w:cnfStyle w:val="000000100000"/>
        </w:trPr>
        <w:tc>
          <w:tcPr>
            <w:tcW w:w="1716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11</w:t>
            </w:r>
          </w:p>
        </w:tc>
        <w:tc>
          <w:tcPr>
            <w:tcW w:w="1826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23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253</w:t>
            </w:r>
          </w:p>
        </w:tc>
        <w:tc>
          <w:tcPr>
            <w:tcW w:w="145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121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529</w:t>
            </w:r>
          </w:p>
        </w:tc>
      </w:tr>
      <w:tr>
        <w:trPr/>
        <w:tc>
          <w:tcPr>
            <w:tcW w:w="1716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hr-BA"/>
              </w:rPr>
              <w:t>14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336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190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576</w:t>
            </w:r>
          </w:p>
        </w:tc>
      </w:tr>
      <w:tr>
        <w:trPr>
          <w:cnfStyle w:val="000000100000"/>
        </w:trPr>
        <w:tc>
          <w:tcPr>
            <w:tcW w:w="1716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hr-BA"/>
              </w:rPr>
              <w:t>47</w:t>
            </w:r>
          </w:p>
        </w:tc>
        <w:tc>
          <w:tcPr>
            <w:tcW w:w="1826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116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992</w:t>
            </w:r>
          </w:p>
        </w:tc>
        <w:tc>
          <w:tcPr>
            <w:tcW w:w="1455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451</w:t>
            </w:r>
          </w:p>
        </w:tc>
        <w:tc>
          <w:tcPr>
            <w:tcW w:w="1454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b/>
                <w:sz w:val="24"/>
                <w:szCs w:val="24"/>
                <w:lang w:val="hr-B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hr-BA"/>
              </w:rPr>
              <w:t>2340</w:t>
            </w:r>
          </w:p>
        </w:tc>
      </w:tr>
    </w:tbl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</w:r>
    </w:p>
    <w:p>
      <w:pPr>
        <w:pStyle w:val="Normal"/>
        <w:rPr/>
      </w:pPr>
      <w:r>
        <w:rPr/>
        <w:tab/>
        <w:tab/>
        <w:t>Izračunati i objasniti koefcjent determinacije i korelacije.</w:t>
      </w:r>
    </w:p>
    <w:p>
      <w:pPr>
        <w:pStyle w:val="Normal"/>
        <w:ind w:left="708" w:firstLine="708"/>
        <w:rPr/>
      </w:pPr>
      <w:r>
        <w:rPr/>
        <w:t>Cxy = 13,97</w:t>
      </w:r>
    </w:p>
    <w:p>
      <w:pPr>
        <w:pStyle w:val="Normal"/>
        <w:ind w:left="708" w:firstLine="708"/>
        <w:rPr/>
      </w:pPr>
      <w:r>
        <w:rPr>
          <w:rFonts w:ascii="Cambria Math" w:hAnsi="Cambria Math"/>
        </w:rPr>
        <w:t>𝛿</w:t>
      </w:r>
      <w:r>
        <w:rPr/>
        <w:t>x</w:t>
      </w:r>
      <w:r>
        <w:rPr>
          <w:rFonts w:cs="Calibri" w:cstheme="minorHAnsi"/>
        </w:rPr>
        <w:t>²</w:t>
      </w:r>
      <w:r>
        <w:rPr/>
        <w:t xml:space="preserve"> = 13,6911</w:t>
      </w:r>
    </w:p>
    <w:p>
      <w:pPr>
        <w:pStyle w:val="Normal"/>
        <w:ind w:left="708" w:firstLine="708"/>
        <w:rPr/>
      </w:pPr>
      <w:r>
        <w:rPr>
          <w:rFonts w:ascii="Cambria Math" w:hAnsi="Cambria Math"/>
        </w:rPr>
        <w:t>𝛿</w:t>
      </w:r>
      <w:r>
        <w:rPr/>
        <w:t>y</w:t>
      </w:r>
      <w:r>
        <w:rPr>
          <w:rFonts w:cs="Calibri" w:cstheme="minorHAnsi"/>
        </w:rPr>
        <w:t>²</w:t>
      </w:r>
      <w:r>
        <w:rPr/>
        <w:t xml:space="preserve"> = 16,36</w:t>
      </w:r>
    </w:p>
    <w:p>
      <w:pPr>
        <w:pStyle w:val="Normal"/>
        <w:ind w:left="708" w:firstLine="708"/>
        <w:rPr/>
      </w:pPr>
      <w:r>
        <w:rPr/>
        <w:t>r</w:t>
      </w:r>
      <w:r>
        <w:rPr>
          <w:rFonts w:cs="Calibri" w:cstheme="minorHAnsi"/>
        </w:rPr>
        <w:t>²</w:t>
      </w:r>
      <w:r>
        <w:rPr/>
        <w:t xml:space="preserve"> = 0,8713 ili 87,13%</w:t>
      </w:r>
    </w:p>
    <w:p>
      <w:pPr>
        <w:pStyle w:val="Normal"/>
        <w:ind w:left="708" w:firstLine="708"/>
        <w:rPr/>
      </w:pPr>
      <w:r>
        <w:rPr/>
        <w:t>r = 0,933 ili 93,3%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Izvoz  pšenice je imao sljedeće kretanje u period od 2006 – 2011 godine:</w:t>
      </w:r>
    </w:p>
    <w:p>
      <w:pPr>
        <w:pStyle w:val="ListParagraph"/>
        <w:ind w:left="1080" w:hanging="0"/>
        <w:rPr/>
      </w:pPr>
      <w:r>
        <w:rPr/>
      </w:r>
    </w:p>
    <w:tbl>
      <w:tblPr>
        <w:tblStyle w:val="LightList-Accent2"/>
        <w:tblW w:w="8045" w:type="dxa"/>
        <w:jc w:val="left"/>
        <w:tblInd w:w="1242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1584"/>
        <w:gridCol w:w="1727"/>
        <w:gridCol w:w="1577"/>
        <w:gridCol w:w="1578"/>
        <w:gridCol w:w="1579"/>
      </w:tblGrid>
      <w:tr>
        <w:trPr>
          <w:cnfStyle w:val="100000000000"/>
        </w:trPr>
        <w:tc>
          <w:tcPr>
            <w:tcW w:w="1584" w:type="dxa"/>
            <w:cnfStyle w:val="00100000000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Godina</w:t>
            </w:r>
          </w:p>
        </w:tc>
        <w:tc>
          <w:tcPr>
            <w:tcW w:w="17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Izvoz pšenice u milionima tona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Xi</w:t>
            </w:r>
          </w:p>
        </w:tc>
        <w:tc>
          <w:tcPr>
            <w:tcW w:w="157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XiYi</w:t>
            </w:r>
          </w:p>
        </w:tc>
        <w:tc>
          <w:tcPr>
            <w:tcW w:w="1579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Xi</w:t>
            </w:r>
            <w:r>
              <w:rPr>
                <w:rFonts w:cs="Calibri" w:cstheme="minorHAnsi"/>
                <w:b/>
                <w:bCs/>
                <w:color w:val="FFFFFF"/>
              </w:rPr>
              <w:t>²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33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0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0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0</w:t>
            </w:r>
          </w:p>
        </w:tc>
      </w:tr>
      <w:tr>
        <w:trPr/>
        <w:tc>
          <w:tcPr>
            <w:tcW w:w="1584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43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43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53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2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106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4</w:t>
            </w:r>
          </w:p>
        </w:tc>
      </w:tr>
      <w:tr>
        <w:trPr/>
        <w:tc>
          <w:tcPr>
            <w:tcW w:w="1584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55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165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9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61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4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244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16</w:t>
            </w:r>
          </w:p>
        </w:tc>
      </w:tr>
      <w:tr>
        <w:trPr/>
        <w:tc>
          <w:tcPr>
            <w:tcW w:w="1584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71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355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/>
              <w:rPr/>
            </w:pPr>
            <w:r>
              <w:rPr/>
              <w:t>25</w:t>
            </w:r>
          </w:p>
        </w:tc>
      </w:tr>
      <w:tr>
        <w:trPr>
          <w:cnfStyle w:val="000000100000"/>
        </w:trPr>
        <w:tc>
          <w:tcPr>
            <w:tcW w:w="1584" w:type="dxa"/>
            <w:cnfStyle w:val="001000000000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∑</w:t>
            </w:r>
          </w:p>
        </w:tc>
        <w:tc>
          <w:tcPr>
            <w:tcW w:w="172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316</w:t>
            </w:r>
          </w:p>
        </w:tc>
        <w:tc>
          <w:tcPr>
            <w:tcW w:w="1577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15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913</w:t>
            </w:r>
          </w:p>
        </w:tc>
        <w:tc>
          <w:tcPr>
            <w:tcW w:w="1579" w:type="dxa"/>
            <w:tcBorders/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/>
            </w:pPr>
            <w:r>
              <w:rPr/>
              <w:t>55</w:t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firstLine="708"/>
        <w:rPr/>
      </w:pPr>
      <w:r>
        <w:rPr/>
        <w:t>Prognozirati izvoz u 2018 godin sa ishodištem na poćetku promatranog razdoblja.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</w:r>
      <w:r>
        <w:rPr>
          <w:rFonts w:cs="Calibri" w:cstheme="minorHAnsi"/>
        </w:rPr>
        <w:t>ẏ</w:t>
      </w:r>
      <w:r>
        <w:rPr/>
        <w:t xml:space="preserve"> = 52,66</w:t>
      </w:r>
    </w:p>
    <w:p>
      <w:pPr>
        <w:pStyle w:val="ListParagraph"/>
        <w:ind w:left="0" w:hanging="0"/>
        <w:rPr/>
      </w:pPr>
      <w:r>
        <w:rPr/>
        <w:tab/>
      </w:r>
      <w:r>
        <w:rPr>
          <w:rFonts w:cs="Calibri" w:cstheme="minorHAnsi"/>
        </w:rPr>
        <w:t>Ẋ</w:t>
      </w:r>
      <w:r>
        <w:rPr/>
        <w:t xml:space="preserve"> = 2,5</w:t>
      </w:r>
    </w:p>
    <w:p>
      <w:pPr>
        <w:pStyle w:val="ListParagraph"/>
        <w:ind w:left="0" w:hanging="0"/>
        <w:rPr/>
      </w:pPr>
      <w:r>
        <w:rPr/>
        <w:tab/>
        <w:t>b = 7,03</w:t>
      </w:r>
    </w:p>
    <w:p>
      <w:pPr>
        <w:pStyle w:val="ListParagraph"/>
        <w:ind w:left="0" w:hanging="0"/>
        <w:rPr/>
      </w:pPr>
      <w:r>
        <w:rPr/>
        <w:tab/>
        <w:t>a = 34,51</w:t>
      </w:r>
    </w:p>
    <w:p>
      <w:pPr>
        <w:pStyle w:val="ListParagraph"/>
        <w:ind w:left="0" w:hanging="0"/>
        <w:rPr/>
      </w:pPr>
      <w:r>
        <w:rPr/>
        <w:tab/>
        <w:t>Y</w:t>
      </w:r>
      <w:r>
        <w:rPr>
          <w:sz w:val="16"/>
          <w:szCs w:val="16"/>
        </w:rPr>
        <w:t>2018</w:t>
      </w:r>
      <w:r>
        <w:rPr/>
        <w:t xml:space="preserve"> = 169,36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Objasniti razliku između indeksa sa stalnom I promjenjivom bazom?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 xml:space="preserve"> </w:t>
      </w:r>
      <w:r>
        <w:rPr/>
        <w:t>Primjena regresione analize?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08"/>
  <w:compat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044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e748e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5df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35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LibreOffice/5.4.3.2$MacOSX_X86_64 LibreOffice_project/92a7159f7e4af62137622921e809f8546db437e5</Application>
  <Pages>2</Pages>
  <Words>269</Words>
  <Characters>1098</Characters>
  <CharactersWithSpaces>1333</CharactersWithSpaces>
  <Paragraphs>105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2012-04-26T07:44:00Z</dcterms:created>
  <dc:creator>Trial</dc:creator>
  <dc:description/>
  <dc:language>en-US</dc:language>
  <cp:lastModifiedBy/>
  <dcterms:modified xsi:type="dcterms:W3CDTF">2017-12-20T19:37:37Z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