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23BDD">
      <w:pPr>
        <w:spacing w:after="80"/>
        <w:jc w:val="center"/>
        <w:rPr>
          <w:b/>
        </w:rPr>
      </w:pPr>
      <w:r>
        <w:rPr>
          <w:b/>
        </w:rPr>
        <w:t xml:space="preserve">Budget Impact Analysis of Ferric Derisomaltose for Heart Failure in a Rapidly Aging Regional Population </w:t>
      </w:r>
    </w:p>
    <w:p w14:paraId="6F047E4C">
      <w:pPr>
        <w:spacing w:after="80"/>
        <w:jc w:val="center"/>
        <w:rPr>
          <w:vertAlign w:val="superscript"/>
        </w:rPr>
      </w:pPr>
      <w:r>
        <w:t>Doris George</w:t>
      </w:r>
      <w:r>
        <w:rPr>
          <w:vertAlign w:val="superscript"/>
        </w:rPr>
        <w:t>1</w:t>
      </w:r>
      <w:r>
        <w:t>, Tan Hoo Seng</w:t>
      </w:r>
      <w:r>
        <w:rPr>
          <w:vertAlign w:val="superscript"/>
        </w:rPr>
        <w:t>1</w:t>
      </w:r>
      <w:r>
        <w:t>, Chiew Shoen Chuen</w:t>
      </w:r>
      <w:r>
        <w:rPr>
          <w:vertAlign w:val="superscript"/>
        </w:rPr>
        <w:t>2</w:t>
      </w:r>
      <w:r>
        <w:t>, Ng Chin Hui</w:t>
      </w:r>
      <w:r>
        <w:rPr>
          <w:vertAlign w:val="superscript"/>
        </w:rPr>
        <w:t>3</w:t>
      </w:r>
      <w:r>
        <w:t>, Kumutha Kumarasamy</w:t>
      </w:r>
      <w:r>
        <w:rPr>
          <w:vertAlign w:val="superscript"/>
        </w:rPr>
        <w:t>2</w:t>
      </w:r>
      <w:r>
        <w:t>, Zulhilmi Aladdin</w:t>
      </w:r>
      <w:r>
        <w:rPr>
          <w:vertAlign w:val="superscript"/>
        </w:rPr>
        <w:t>5</w:t>
      </w:r>
    </w:p>
    <w:p w14:paraId="7BFA9D19">
      <w:pPr>
        <w:pStyle w:val="6"/>
        <w:numPr>
          <w:ilvl w:val="0"/>
          <w:numId w:val="1"/>
        </w:numPr>
        <w:spacing w:after="80"/>
        <w:jc w:val="center"/>
        <w:rPr>
          <w:i/>
          <w:sz w:val="20"/>
          <w:szCs w:val="20"/>
        </w:rPr>
      </w:pPr>
      <w:r>
        <w:rPr>
          <w:i/>
          <w:sz w:val="20"/>
          <w:szCs w:val="20"/>
        </w:rPr>
        <w:t>Pharmacy Department, Hospital Taiping, Ministry of Health, Malaysia</w:t>
      </w:r>
    </w:p>
    <w:p w14:paraId="49416885">
      <w:pPr>
        <w:pStyle w:val="6"/>
        <w:numPr>
          <w:ilvl w:val="0"/>
          <w:numId w:val="1"/>
        </w:numPr>
        <w:spacing w:after="80"/>
        <w:jc w:val="center"/>
        <w:rPr>
          <w:i/>
          <w:sz w:val="20"/>
          <w:szCs w:val="20"/>
        </w:rPr>
      </w:pPr>
      <w:r>
        <w:rPr>
          <w:i/>
          <w:sz w:val="20"/>
          <w:szCs w:val="20"/>
        </w:rPr>
        <w:t>Pharmacy Department, Hospital Seri Manjung, Ministry of Health, Malaysia</w:t>
      </w:r>
    </w:p>
    <w:p w14:paraId="46FE7A8A">
      <w:pPr>
        <w:pStyle w:val="6"/>
        <w:numPr>
          <w:ilvl w:val="0"/>
          <w:numId w:val="1"/>
        </w:numPr>
        <w:spacing w:after="80"/>
        <w:jc w:val="center"/>
        <w:rPr>
          <w:i/>
          <w:sz w:val="20"/>
          <w:szCs w:val="20"/>
        </w:rPr>
      </w:pPr>
      <w:r>
        <w:rPr>
          <w:i/>
          <w:sz w:val="20"/>
          <w:szCs w:val="20"/>
        </w:rPr>
        <w:t>Pharmacy Department, Hospital Raja Permaisuri Bainun, Ipoh, Ministry of Health, Malaysia</w:t>
      </w:r>
    </w:p>
    <w:p w14:paraId="0BB8D57E">
      <w:pPr>
        <w:pStyle w:val="6"/>
        <w:numPr>
          <w:ilvl w:val="0"/>
          <w:numId w:val="1"/>
        </w:numPr>
        <w:spacing w:line="240" w:lineRule="auto"/>
        <w:jc w:val="center"/>
        <w:rPr>
          <w:i/>
          <w:sz w:val="20"/>
          <w:szCs w:val="20"/>
        </w:rPr>
      </w:pPr>
      <w:r>
        <w:rPr>
          <w:i/>
          <w:sz w:val="20"/>
          <w:szCs w:val="20"/>
        </w:rPr>
        <w:t xml:space="preserve">Pharmacy Service Division, Jabatan Kesihatan Neger Perak, Ministry of Health, Malaysia </w:t>
      </w:r>
    </w:p>
    <w:p w14:paraId="46347358">
      <w:pPr>
        <w:pStyle w:val="6"/>
        <w:spacing w:before="240" w:after="240"/>
        <w:rPr>
          <w:color w:val="0000FF"/>
          <w:sz w:val="24"/>
          <w:szCs w:val="24"/>
        </w:rPr>
      </w:pPr>
    </w:p>
    <w:p w14:paraId="5A2FAA2A">
      <w:pPr>
        <w:pStyle w:val="2"/>
        <w:keepNext w:val="0"/>
        <w:keepLines w:val="0"/>
        <w:spacing w:before="280"/>
        <w:jc w:val="both"/>
        <w:rPr>
          <w:b/>
          <w:bCs/>
          <w:color w:val="000000"/>
          <w:sz w:val="26"/>
          <w:szCs w:val="26"/>
        </w:rPr>
      </w:pPr>
      <w:r>
        <w:rPr>
          <w:b/>
          <w:bCs/>
          <w:color w:val="000000"/>
          <w:sz w:val="26"/>
          <w:szCs w:val="26"/>
        </w:rPr>
        <w:t>Abstract</w:t>
      </w:r>
    </w:p>
    <w:p w14:paraId="6823AC0E">
      <w:pPr>
        <w:spacing w:before="240" w:after="240"/>
        <w:jc w:val="both"/>
        <w:rPr>
          <w:rFonts w:hint="default" w:ascii="Arial Regular" w:hAnsi="Arial Regular" w:cs="Arial Regular"/>
          <w:sz w:val="22"/>
          <w:szCs w:val="22"/>
        </w:rPr>
      </w:pPr>
      <w:r>
        <w:rPr>
          <w:rFonts w:hint="default" w:ascii="Arial Regular" w:hAnsi="Arial Regular" w:cs="Arial Regular"/>
          <w:b/>
          <w:bCs/>
          <w:sz w:val="22"/>
          <w:szCs w:val="22"/>
        </w:rPr>
        <w:t xml:space="preserve">Background: </w:t>
      </w:r>
      <w:r>
        <w:rPr>
          <w:rFonts w:hint="default" w:ascii="Arial Regular" w:hAnsi="Arial Regular" w:cs="Arial Regular"/>
          <w:sz w:val="22"/>
          <w:szCs w:val="22"/>
        </w:rPr>
        <w:t>Heart failure with reduced ejection fraction (HFrEF) poses a significant clinical and economic burden in Malaysia, particularly in the rapidly aging state of Perak. Iron deficiency (ID) is a highly prevalent comorbidity that exacerbates this burden, increasing hospitalization risk. While international guidelines recommend intravenous ferric derisomaltose (FDI) to improve outcomes, its economic viability within Perak’s publicly funded healthcare system remains undefined.</w:t>
      </w:r>
    </w:p>
    <w:p w14:paraId="4211833C">
      <w:pPr>
        <w:spacing w:before="240" w:after="240"/>
        <w:jc w:val="both"/>
        <w:rPr>
          <w:rFonts w:hint="default" w:ascii="Arial Regular" w:hAnsi="Arial Regular" w:cs="Arial Regular"/>
          <w:sz w:val="22"/>
          <w:szCs w:val="22"/>
        </w:rPr>
      </w:pPr>
      <w:r>
        <w:rPr>
          <w:rFonts w:hint="default" w:ascii="Arial Regular" w:hAnsi="Arial Regular" w:cs="Arial Regular"/>
          <w:b/>
          <w:bCs/>
          <w:sz w:val="22"/>
          <w:szCs w:val="22"/>
        </w:rPr>
        <w:t xml:space="preserve">Objective: </w:t>
      </w:r>
      <w:r>
        <w:rPr>
          <w:rFonts w:hint="default" w:ascii="Arial Regular" w:hAnsi="Arial Regular" w:cs="Arial Regular"/>
          <w:sz w:val="22"/>
          <w:szCs w:val="22"/>
        </w:rPr>
        <w:t>To estimate the 3-year budget impact of introducing FDI therapy for HFrEF patients with ID in Perak public hospitals from the perspective of the Malaysian Ministry of Health (MOH).</w:t>
      </w:r>
    </w:p>
    <w:p w14:paraId="7F8F9220">
      <w:pPr>
        <w:spacing w:before="240" w:after="240"/>
        <w:jc w:val="both"/>
        <w:rPr>
          <w:rFonts w:hint="default" w:ascii="Arial Regular" w:hAnsi="Arial Regular" w:cs="Arial Regular"/>
          <w:sz w:val="22"/>
          <w:szCs w:val="22"/>
        </w:rPr>
      </w:pPr>
      <w:r>
        <w:rPr>
          <w:rFonts w:hint="default" w:ascii="Arial Regular" w:hAnsi="Arial Regular" w:cs="Arial Regular"/>
          <w:b/>
          <w:bCs/>
          <w:sz w:val="22"/>
          <w:szCs w:val="22"/>
        </w:rPr>
        <w:t xml:space="preserve">Methods: </w:t>
      </w:r>
      <w:r>
        <w:rPr>
          <w:rFonts w:hint="default" w:ascii="Arial Regular" w:hAnsi="Arial Regular" w:cs="Arial Regular"/>
          <w:sz w:val="22"/>
          <w:szCs w:val="22"/>
        </w:rPr>
        <w:t>An Excel-based budget impact model was developed comparing a "World-with-FDI" scenario against the current standard of care (no intravenous iron) over a 3-year horizon (2026–2028). The eligible cohort was estimated using local demographic projections, regional prevalence registries (Asian-HF, MY-HF), and public sector utilization rates. Clinical efficacy (relative risk of hospitalization) and dosing parameters were derived from the IRONMAN trial, incorporating drug acquisition and hospitalization costs.  Deterministic one-way sensitivity analyses were conducted to test parameter uncertainties.</w:t>
      </w:r>
    </w:p>
    <w:p w14:paraId="05212873">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cs="Arial Regular"/>
          <w:b/>
          <w:bCs/>
          <w:sz w:val="22"/>
          <w:szCs w:val="22"/>
        </w:rPr>
        <w:t xml:space="preserve">Results: </w:t>
      </w:r>
      <w:r>
        <w:rPr>
          <w:rFonts w:hint="default" w:ascii="Arial Regular" w:hAnsi="Arial Regular" w:eastAsia="SimSun" w:cs="Arial Regular"/>
          <w:i w:val="0"/>
          <w:iCs w:val="0"/>
          <w:caps w:val="0"/>
          <w:color w:val="000000"/>
          <w:spacing w:val="0"/>
          <w:kern w:val="0"/>
          <w:sz w:val="22"/>
          <w:szCs w:val="22"/>
          <w:highlight w:val="yellow"/>
          <w:u w:val="none"/>
          <w:vertAlign w:val="baseline"/>
          <w:lang w:val="en-US" w:eastAsia="zh-CN" w:bidi="ar"/>
        </w:rPr>
        <w:t>Assuming a phased treatment uptake of 10% in Year 1, 20% in Year 2, and 30% in Year 3, the model projected that 1,761 patients would receive FDI therapy by the end of 2028</w:t>
      </w:r>
      <w:r>
        <w:rPr>
          <w:rFonts w:hint="default" w:ascii="Arial Regular" w:hAnsi="Arial Regular" w:eastAsia="SimSun" w:cs="Arial Regular"/>
          <w:kern w:val="0"/>
          <w:sz w:val="22"/>
          <w:szCs w:val="22"/>
          <w:highlight w:val="yellow"/>
          <w:lang w:val="en-US" w:eastAsia="zh-CN" w:bidi="ar"/>
        </w:rPr>
        <w:t>. FDI significantly reduced unplanned hospitalizations by 17% compared to usual care (RR 0.83; 95% CI 0.71–0.97; p=0.02).</w:t>
      </w:r>
      <w:r>
        <w:rPr>
          <w:rFonts w:hint="default" w:ascii="Arial Regular" w:hAnsi="Arial Regular" w:eastAsia="SimSun" w:cs="Arial Regular"/>
          <w:kern w:val="0"/>
          <w:sz w:val="22"/>
          <w:szCs w:val="22"/>
          <w:lang w:val="en-US" w:eastAsia="zh-CN" w:bidi="ar"/>
        </w:rPr>
        <w:t xml:space="preserve"> </w:t>
      </w:r>
      <w:bookmarkStart w:id="0" w:name="_GoBack"/>
      <w:bookmarkEnd w:id="0"/>
      <w:r>
        <w:rPr>
          <w:rFonts w:hint="default" w:ascii="Arial Regular" w:hAnsi="Arial Regular" w:cs="Arial Regular"/>
          <w:sz w:val="22"/>
          <w:szCs w:val="22"/>
        </w:rPr>
        <w:t>Phased introduction of FDI required a negligible net investment of RM 2,686 in Year 1. However, as patients transitioned to maintenance dosing, the economic benefits of averted hospitalizations significantly outweighed drug acquisition costs, generating net savings of RM 442,279 in Year 2 and RM 889,529 in Year 3. The 3-year cumulative savings totaled RM 1.33 million. Sensitivity analyses revealed the model is highly sensitive to hospitalization costs; prioritizing high-risk patients amplified Year 3 savings to over RM 2 million, while low-cost, stable cohorts resulted in a net budget deficit.</w:t>
      </w:r>
    </w:p>
    <w:p w14:paraId="2DA71E55">
      <w:pPr>
        <w:keepNext w:val="0"/>
        <w:keepLines w:val="0"/>
        <w:widowControl/>
        <w:suppressLineNumbers w:val="0"/>
        <w:jc w:val="left"/>
        <w:rPr>
          <w:rFonts w:hint="default" w:ascii="Arial Regular" w:hAnsi="Arial Regular" w:cs="Arial Regular"/>
          <w:sz w:val="22"/>
          <w:szCs w:val="22"/>
        </w:rPr>
      </w:pPr>
    </w:p>
    <w:p w14:paraId="124F981C">
      <w:pPr>
        <w:keepNext w:val="0"/>
        <w:keepLines w:val="0"/>
        <w:widowControl/>
        <w:suppressLineNumbers w:val="0"/>
        <w:jc w:val="left"/>
        <w:rPr>
          <w:rFonts w:hint="default" w:ascii="Arial Regular" w:hAnsi="Arial Regular" w:cs="Arial Regular"/>
          <w:sz w:val="22"/>
          <w:szCs w:val="22"/>
        </w:rPr>
      </w:pPr>
      <w:r>
        <w:rPr>
          <w:rFonts w:hint="default" w:ascii="Arial Bold" w:hAnsi="Arial Bold" w:cs="Arial Bold"/>
          <w:b/>
          <w:bCs/>
          <w:sz w:val="22"/>
          <w:szCs w:val="22"/>
        </w:rPr>
        <w:t>Conclusion</w:t>
      </w:r>
      <w:r>
        <w:rPr>
          <w:rFonts w:hint="default" w:ascii="Arial Regular" w:hAnsi="Arial Regular" w:cs="Arial Regular"/>
          <w:b/>
          <w:bCs/>
          <w:sz w:val="22"/>
          <w:szCs w:val="22"/>
        </w:rPr>
        <w:t xml:space="preserve">: </w:t>
      </w:r>
      <w:r>
        <w:rPr>
          <w:rFonts w:hint="default" w:ascii="Arial Regular" w:hAnsi="Arial Regular" w:cs="Arial Regular"/>
          <w:sz w:val="22"/>
          <w:szCs w:val="22"/>
        </w:rPr>
        <w:t xml:space="preserve">FDI </w:t>
      </w:r>
      <w:r>
        <w:rPr>
          <w:rFonts w:hint="default" w:ascii="Arial Regular" w:hAnsi="Arial Regular" w:eastAsia="SimSun" w:cs="Arial Regular"/>
          <w:i w:val="0"/>
          <w:iCs w:val="0"/>
          <w:caps w:val="0"/>
          <w:color w:val="222222"/>
          <w:spacing w:val="0"/>
          <w:kern w:val="0"/>
          <w:sz w:val="22"/>
          <w:szCs w:val="22"/>
          <w:highlight w:val="yellow"/>
          <w:u w:val="none"/>
          <w:shd w:val="clear" w:fill="FFFFFF"/>
          <w:lang w:val="en-US" w:eastAsia="zh-CN" w:bidi="ar"/>
        </w:rPr>
        <w:t xml:space="preserve">appears to be a potentially </w:t>
      </w:r>
      <w:r>
        <w:rPr>
          <w:rFonts w:hint="default" w:ascii="Arial Regular" w:hAnsi="Arial Regular" w:cs="Arial Regular"/>
          <w:sz w:val="22"/>
          <w:szCs w:val="22"/>
        </w:rPr>
        <w:t>cost-saving intervention for the management of HFrEF with ID in Perak. Strategic patient selection targeting high-utilization cohorts maximizes financial sustainability, while the therapy's single-visit dosing profile offers substantial operational efficiencies for public hospital day-care centers.</w:t>
      </w:r>
    </w:p>
    <w:p w14:paraId="20AB2C41">
      <w:pPr>
        <w:spacing w:before="240" w:after="240"/>
        <w:jc w:val="both"/>
      </w:pPr>
      <w:r>
        <w:rPr>
          <w:b/>
        </w:rPr>
        <w:t>Keywords</w:t>
      </w:r>
      <w:r>
        <w:t>: ferric derisomaltose, heart  failure, hospitalisation, budget</w:t>
      </w:r>
    </w:p>
    <w:p w14:paraId="35DBCAB0">
      <w:pPr>
        <w:spacing w:before="240" w:after="240"/>
        <w:jc w:val="both"/>
      </w:pPr>
      <w:r>
        <w:rPr>
          <w:b/>
        </w:rPr>
        <w:t>NMRR ID</w:t>
      </w:r>
      <w:r>
        <w:t>: NMRR ID-26-00592-6T5 (IIR)</w:t>
      </w:r>
    </w:p>
    <w:p w14:paraId="014954E1">
      <w:pPr>
        <w:spacing w:before="240" w:after="240"/>
        <w:jc w:val="both"/>
      </w:pPr>
      <w:r>
        <w:rPr>
          <w:b/>
        </w:rPr>
        <w:t>Approval Letter Ref. No</w:t>
      </w:r>
      <w:r>
        <w:t>.: 26-00592-6T5 ( 1 )</w:t>
      </w:r>
    </w:p>
    <w:p w14:paraId="6BE731B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6A2FE1"/>
    <w:multiLevelType w:val="multilevel"/>
    <w:tmpl w:val="506A2F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A89"/>
    <w:rsid w:val="00227D8B"/>
    <w:rsid w:val="00281EF6"/>
    <w:rsid w:val="008F5A89"/>
    <w:rsid w:val="00BF41C5"/>
    <w:rsid w:val="AF7DE8E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0" w:line="276" w:lineRule="auto"/>
    </w:pPr>
    <w:rPr>
      <w:rFonts w:ascii="Arial" w:hAnsi="Arial" w:eastAsia="Arial" w:cs="Arial"/>
      <w:sz w:val="22"/>
      <w:szCs w:val="22"/>
      <w:lang w:val="en-MY" w:eastAsia="en-MY" w:bidi="ar-SA"/>
    </w:rPr>
  </w:style>
  <w:style w:type="paragraph" w:styleId="2">
    <w:name w:val="heading 3"/>
    <w:basedOn w:val="1"/>
    <w:next w:val="1"/>
    <w:link w:val="5"/>
    <w:uiPriority w:val="0"/>
    <w:pPr>
      <w:keepNext/>
      <w:keepLines/>
      <w:spacing w:before="320" w:after="80"/>
      <w:outlineLvl w:val="2"/>
    </w:pPr>
    <w:rPr>
      <w:color w:val="434343"/>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5">
    <w:name w:val="Heading 3 Char"/>
    <w:basedOn w:val="3"/>
    <w:link w:val="2"/>
    <w:uiPriority w:val="0"/>
    <w:rPr>
      <w:rFonts w:ascii="Arial" w:hAnsi="Arial" w:eastAsia="Arial" w:cs="Arial"/>
      <w:color w:val="434343"/>
      <w:sz w:val="28"/>
      <w:szCs w:val="28"/>
      <w:lang w:eastAsia="en-MY"/>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434</Words>
  <Characters>2476</Characters>
  <Lines>20</Lines>
  <Paragraphs>5</Paragraphs>
  <TotalTime>33</TotalTime>
  <ScaleCrop>false</ScaleCrop>
  <LinksUpToDate>false</LinksUpToDate>
  <CharactersWithSpaces>2905</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2026-05-07T10:39:00Z</dcterms:created>
  <dc:creator>USER</dc:creator>
  <cp:lastModifiedBy>WPS_1760256792</cp:lastModifiedBy>
  <dcterms:modified xsi:type="dcterms:W3CDTF">2026-06-03T09:17:37Z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7FB96981EC09CFF1B1801F6ADBE3C508_42</vt:lpwstr>
  </property>
</Properties>
</file>