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4F4256" w:rsidR="004F4256" w:rsidP="22C1FB52" w:rsidRDefault="004F4256" wp14:textId="77777777" w14:paraId="4CE930BF">
      <w:pPr>
        <w:pStyle w:val="Heading1"/>
        <w:spacing w:before="0" w:after="0" w:line="240" w:lineRule="auto"/>
        <w:jc w:val="center"/>
        <w:rPr>
          <w:sz w:val="20"/>
          <w:szCs w:val="20"/>
        </w:rPr>
      </w:pPr>
      <w:r w:rsidRPr="22C1FB52" w:rsidR="0A220D4F">
        <w:rPr>
          <w:sz w:val="20"/>
          <w:szCs w:val="20"/>
        </w:rPr>
        <w:t>Real-World Clinical and Economic Impact of Oral Antidiabetic Drug Optimization for Insulin De-intensification in Type 2 Diabetes: A Retrospective Cohort Study in Malaysian Public Hospital</w:t>
      </w:r>
    </w:p>
    <w:p xmlns:wp14="http://schemas.microsoft.com/office/word/2010/wordml" w:rsidRPr="004F4256" w:rsidR="004F4256" w:rsidP="22C1FB52" w:rsidRDefault="004F4256" wp14:textId="77777777" w14:paraId="0E72E6B2">
      <w:pPr>
        <w:spacing w:line="240" w:lineRule="auto"/>
        <w:rPr>
          <w:sz w:val="20"/>
          <w:szCs w:val="20"/>
        </w:rPr>
      </w:pPr>
    </w:p>
    <w:p xmlns:wp14="http://schemas.microsoft.com/office/word/2010/wordml" w:rsidRPr="004F4256" w:rsidR="004F4256" w:rsidP="22C1FB52" w:rsidRDefault="004F4256" wp14:textId="77777777" w14:paraId="519DB1D3">
      <w:pPr>
        <w:spacing w:line="240" w:lineRule="auto"/>
        <w:jc w:val="center"/>
        <w:rPr>
          <w:sz w:val="20"/>
          <w:szCs w:val="20"/>
          <w:vertAlign w:val="superscript"/>
        </w:rPr>
      </w:pPr>
      <w:r w:rsidRPr="22C1FB52" w:rsidR="0A220D4F">
        <w:rPr>
          <w:sz w:val="20"/>
          <w:szCs w:val="20"/>
        </w:rPr>
        <w:t>Doris George</w:t>
      </w:r>
      <w:r w:rsidRPr="22C1FB52" w:rsidR="0A220D4F">
        <w:rPr>
          <w:sz w:val="20"/>
          <w:szCs w:val="20"/>
          <w:vertAlign w:val="superscript"/>
        </w:rPr>
        <w:t xml:space="preserve">1 </w:t>
      </w:r>
      <w:r w:rsidRPr="22C1FB52" w:rsidR="0A220D4F">
        <w:rPr>
          <w:sz w:val="20"/>
          <w:szCs w:val="20"/>
        </w:rPr>
        <w:t>Lee Sue Ann</w:t>
      </w:r>
      <w:r w:rsidRPr="22C1FB52" w:rsidR="0A220D4F">
        <w:rPr>
          <w:sz w:val="20"/>
          <w:szCs w:val="20"/>
          <w:vertAlign w:val="superscript"/>
        </w:rPr>
        <w:t xml:space="preserve">2 </w:t>
      </w:r>
      <w:r w:rsidRPr="22C1FB52" w:rsidR="0A220D4F">
        <w:rPr>
          <w:sz w:val="20"/>
          <w:szCs w:val="20"/>
        </w:rPr>
        <w:t>Lai Ee Siew</w:t>
      </w:r>
      <w:r w:rsidRPr="22C1FB52" w:rsidR="0A220D4F">
        <w:rPr>
          <w:sz w:val="20"/>
          <w:szCs w:val="20"/>
          <w:vertAlign w:val="superscript"/>
        </w:rPr>
        <w:t xml:space="preserve">1 </w:t>
      </w:r>
      <w:r w:rsidRPr="22C1FB52" w:rsidR="0A220D4F">
        <w:rPr>
          <w:sz w:val="20"/>
          <w:szCs w:val="20"/>
        </w:rPr>
        <w:t>Lee Jia Sheng</w:t>
      </w:r>
      <w:r w:rsidRPr="22C1FB52" w:rsidR="0A220D4F">
        <w:rPr>
          <w:sz w:val="20"/>
          <w:szCs w:val="20"/>
          <w:vertAlign w:val="superscript"/>
        </w:rPr>
        <w:t>1</w:t>
      </w:r>
    </w:p>
    <w:p xmlns:wp14="http://schemas.microsoft.com/office/word/2010/wordml" w:rsidRPr="004F4256" w:rsidR="004F4256" w:rsidP="22C1FB52" w:rsidRDefault="004F4256" wp14:textId="77777777" w14:paraId="6E837C55">
      <w:pPr>
        <w:spacing w:line="240" w:lineRule="auto"/>
        <w:jc w:val="center"/>
        <w:rPr>
          <w:sz w:val="20"/>
          <w:szCs w:val="20"/>
          <w:vertAlign w:val="superscript"/>
        </w:rPr>
      </w:pPr>
      <w:r w:rsidRPr="22C1FB52" w:rsidR="0A220D4F">
        <w:rPr>
          <w:sz w:val="20"/>
          <w:szCs w:val="20"/>
          <w:vertAlign w:val="superscript"/>
        </w:rPr>
        <w:t>1</w:t>
      </w:r>
      <w:r w:rsidRPr="22C1FB52" w:rsidR="0A220D4F">
        <w:rPr>
          <w:sz w:val="20"/>
          <w:szCs w:val="20"/>
        </w:rPr>
        <w:t>Pharmacy Department, Hospital Taiping, Perak, Ministry of Health, Malaysia</w:t>
      </w:r>
    </w:p>
    <w:p xmlns:wp14="http://schemas.microsoft.com/office/word/2010/wordml" w:rsidRPr="004F4256" w:rsidR="004F4256" w:rsidP="22C1FB52" w:rsidRDefault="004F4256" wp14:textId="77777777" w14:paraId="40C76311">
      <w:pPr>
        <w:spacing w:line="240" w:lineRule="auto"/>
        <w:jc w:val="center"/>
        <w:rPr>
          <w:sz w:val="20"/>
          <w:szCs w:val="20"/>
        </w:rPr>
      </w:pPr>
      <w:r w:rsidRPr="22C1FB52" w:rsidR="0A220D4F">
        <w:rPr>
          <w:sz w:val="20"/>
          <w:szCs w:val="20"/>
          <w:vertAlign w:val="superscript"/>
        </w:rPr>
        <w:t>2</w:t>
      </w:r>
      <w:r w:rsidRPr="22C1FB52" w:rsidR="0A220D4F">
        <w:rPr>
          <w:sz w:val="20"/>
          <w:szCs w:val="20"/>
        </w:rPr>
        <w:t>Medical Department, Hospital Taiping, Perak, Ministry of Health, Malaysia</w:t>
      </w:r>
    </w:p>
    <w:p xmlns:wp14="http://schemas.microsoft.com/office/word/2010/wordml" w:rsidRPr="004F4256" w:rsidR="004F4256" w:rsidP="22C1FB52" w:rsidRDefault="004F4256" w14:paraId="2BB56001" wp14:textId="2167CB7E">
      <w:pPr>
        <w:spacing w:line="240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69BBF129" wp14:textId="1908386A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Abstract</w:t>
      </w: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RPr="004F4256" w:rsidR="004F4256" w:rsidP="22C1FB52" w:rsidRDefault="004F4256" w14:paraId="70FA0092" wp14:textId="7252FFF4">
      <w:pPr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41F28349" wp14:textId="209156D0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Introduction:</w:t>
      </w: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RPr="004F4256" w:rsidR="004F4256" w:rsidP="22C1FB52" w:rsidRDefault="004F4256" w14:paraId="6F906E50" wp14:textId="559BEC98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The prevalence of diabetes mellitus in Malaysia is high, imposing a significant economic burden. Despite clinical guidelines advocating timely therapy adjustments, clinical inertia often leads to unsustainable reliance on insulin. This study evaluated the feasibility, clinical impact, and cost-effectiveness of an insulin de-intensification and de-prescribing protocol through oral glucose-lowering drug (OGLD) optimization.</w:t>
      </w:r>
    </w:p>
    <w:p xmlns:wp14="http://schemas.microsoft.com/office/word/2010/wordml" w:rsidRPr="004F4256" w:rsidR="004F4256" w:rsidP="22C1FB52" w:rsidRDefault="004F4256" w14:paraId="71CF6885" wp14:textId="74E78524">
      <w:pPr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4F41807C" wp14:textId="32BAA7FE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Methodology:</w:t>
      </w: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RPr="004F4256" w:rsidR="004F4256" w:rsidP="22C1FB52" w:rsidRDefault="004F4256" w14:paraId="1F420A4E" wp14:textId="7A9E35C2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This single-center, retrospective cohort study at Hospital Taiping involved 216 patients with type 2 diabetes mellitus (T2DM) established on insulin therapy for at least one year. The study population was captured between September 1 and December 31, 2024, and evaluated over a six-month follow-up period. Patients were allocated to either an OGLD optimized group (OOG, n=107) or a standard care group (SCG, n=109). Baseline characteristics, including estimated glomerular filtration rate (eGFR), lipid profiles, and prior OGLD use, were comparable between both groups, minimizing potential confounding. The OOG underwent a stepwise protocol: titrating OGLDs to maximally tolerated doses and adding sodium-glucose cotransporter-2 inhibitors (SGLT2i) or dipeptidyl peptidase-4 inhibitors (DPP4i) if unprescribed. Subsequently, insulin adjustments were guided by total daily insulin dose (TDD), prioritizing discontinuation for TDD ≤ 10 units/day, or a 50% basal reduction for TDD 10–20 units/day. The economic evaluation focused exclusively on direct drug acquisition costs.</w:t>
      </w:r>
    </w:p>
    <w:p xmlns:wp14="http://schemas.microsoft.com/office/word/2010/wordml" w:rsidRPr="004F4256" w:rsidR="004F4256" w:rsidP="22C1FB52" w:rsidRDefault="004F4256" w14:paraId="0D84E3E4" wp14:textId="4DE5E130">
      <w:pPr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0BB6440C" wp14:textId="655C8357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Results:</w:t>
      </w: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RPr="004F4256" w:rsidR="004F4256" w:rsidP="22C1FB52" w:rsidRDefault="004F4256" w14:paraId="32659441" wp14:textId="74EA2995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The OOG underwent regimen optimization primarily through the addition of SGLT2i (85.0%) or DPP4i (11.2%). At six months, the OOG achieved a significantly greater mean HbA1c reduction compared to the SCG (0.70% vs. 0.16%, p=0.036). Subgroup analysis revealed a more pronounced HbA1c reduction in OOG patients with higher baseline glycemia (&gt; 8.5%) compared to those with lower baselines (1.1% vs. 0.4%, p=0.001). The OOG demonstrated a significant mean TDD reduction of 10.3 units, whereas the SCG saw a mean increase of 4.2 units (p &lt; 0.001). Additionally, 13.1% (n=14) of patients in the OOG successfully discontinued insulin therapy completely. Based on direct drug acquisition costs, the incremental cost-effectiveness ratio (ICER) was USD 17.22 per 1% reduction in HbA1c.</w:t>
      </w:r>
    </w:p>
    <w:p xmlns:wp14="http://schemas.microsoft.com/office/word/2010/wordml" w:rsidRPr="004F4256" w:rsidR="004F4256" w:rsidP="22C1FB52" w:rsidRDefault="004F4256" w14:paraId="5653235B" wp14:textId="504F60F1">
      <w:pPr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40932D6E" wp14:textId="0004B0CA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Conclusion:</w:t>
      </w: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RPr="004F4256" w:rsidR="004F4256" w:rsidP="22C1FB52" w:rsidRDefault="004F4256" w14:paraId="6502DC54" wp14:textId="17F1514D">
      <w:pPr>
        <w:spacing w:line="360" w:lineRule="auto"/>
        <w:jc w:val="both"/>
      </w:pPr>
      <w:r w:rsidRPr="22C1FB52" w:rsidR="12FF6ED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Optimization of OGLDs, specifically through the strategic introduction of SGLT2 and DPP4 inhibitors, is a clinically effective and cost-effective strategy for managing insulin-treated T2DM patients.</w:t>
      </w:r>
    </w:p>
    <w:p xmlns:wp14="http://schemas.microsoft.com/office/word/2010/wordml" w:rsidRPr="004F4256" w:rsidR="004F4256" w:rsidP="22C1FB52" w:rsidRDefault="004F4256" w14:paraId="279B4F29" wp14:textId="03D61487">
      <w:pPr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4B29E0AC" wp14:textId="0459EF5C">
      <w:pPr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22C1FB52" w:rsidRDefault="004F4256" w14:paraId="49A9FB31" wp14:textId="19F2E209">
      <w:pPr>
        <w:spacing w:line="240" w:lineRule="auto"/>
        <w:rPr>
          <w:sz w:val="20"/>
          <w:szCs w:val="20"/>
        </w:rPr>
      </w:pPr>
      <w:r w:rsidRPr="22C1FB52" w:rsidR="56A5D004">
        <w:rPr>
          <w:b w:val="1"/>
          <w:bCs w:val="1"/>
          <w:sz w:val="20"/>
          <w:szCs w:val="20"/>
        </w:rPr>
        <w:t xml:space="preserve">Keywords: </w:t>
      </w:r>
      <w:r w:rsidRPr="22C1FB52" w:rsidR="56A5D004">
        <w:rPr>
          <w:sz w:val="20"/>
          <w:szCs w:val="20"/>
        </w:rPr>
        <w:t xml:space="preserve"> diabetes, SGLT2i, DPP4</w:t>
      </w:r>
      <w:r w:rsidRPr="22C1FB52" w:rsidR="573643A0">
        <w:rPr>
          <w:sz w:val="20"/>
          <w:szCs w:val="20"/>
        </w:rPr>
        <w:t>i, HBA</w:t>
      </w:r>
      <w:r w:rsidRPr="22C1FB52" w:rsidR="56A5D004">
        <w:rPr>
          <w:sz w:val="20"/>
          <w:szCs w:val="20"/>
        </w:rPr>
        <w:t xml:space="preserve">1c, </w:t>
      </w:r>
    </w:p>
    <w:p xmlns:wp14="http://schemas.microsoft.com/office/word/2010/wordml" w:rsidRPr="004F4256" w:rsidR="004F4256" w:rsidP="22C1FB52" w:rsidRDefault="004F4256" wp14:textId="77777777" w14:paraId="181CBC09">
      <w:pPr>
        <w:spacing w:line="240" w:lineRule="auto"/>
        <w:rPr>
          <w:sz w:val="20"/>
          <w:szCs w:val="20"/>
        </w:rPr>
      </w:pPr>
    </w:p>
    <w:p xmlns:wp14="http://schemas.microsoft.com/office/word/2010/wordml" w:rsidRPr="004F4256" w:rsidR="004F4256" w:rsidP="22C1FB52" w:rsidRDefault="004F4256" wp14:textId="77777777" w14:paraId="2C0E8DD8">
      <w:pPr>
        <w:spacing w:line="240" w:lineRule="auto"/>
        <w:rPr>
          <w:sz w:val="20"/>
          <w:szCs w:val="20"/>
        </w:rPr>
      </w:pPr>
      <w:r w:rsidRPr="22C1FB52" w:rsidR="56A5D004">
        <w:rPr>
          <w:sz w:val="20"/>
          <w:szCs w:val="20"/>
        </w:rPr>
        <w:t>NMRR ID:  25-03112-7GC (IIR)</w:t>
      </w:r>
    </w:p>
    <w:p xmlns:wp14="http://schemas.microsoft.com/office/word/2010/wordml" w:rsidRPr="004F4256" w:rsidR="004F4256" w:rsidP="22C1FB52" w:rsidRDefault="004F4256" wp14:textId="77777777" w14:paraId="3A2D4D8A">
      <w:pPr>
        <w:spacing w:line="240" w:lineRule="auto"/>
        <w:rPr>
          <w:sz w:val="20"/>
          <w:szCs w:val="20"/>
        </w:rPr>
      </w:pPr>
      <w:r w:rsidRPr="22C1FB52" w:rsidR="56A5D004">
        <w:rPr>
          <w:sz w:val="20"/>
          <w:szCs w:val="20"/>
        </w:rPr>
        <w:t>Ethics Approval: 25-03112-7GC (1)</w:t>
      </w:r>
    </w:p>
    <w:p xmlns:wp14="http://schemas.microsoft.com/office/word/2010/wordml" w:rsidRPr="004F4256" w:rsidR="004F4256" w:rsidP="22C1FB52" w:rsidRDefault="004F4256" wp14:textId="77777777" w14:paraId="330114FB">
      <w:pPr>
        <w:spacing w:line="240" w:lineRule="auto"/>
        <w:rPr>
          <w:b w:val="1"/>
          <w:bCs w:val="1"/>
          <w:sz w:val="22"/>
          <w:szCs w:val="22"/>
        </w:rPr>
      </w:pPr>
    </w:p>
    <w:p xmlns:wp14="http://schemas.microsoft.com/office/word/2010/wordml" w:rsidRPr="004F4256" w:rsidR="004F4256" w:rsidP="22C1FB52" w:rsidRDefault="004F4256" w14:paraId="5267D924" wp14:textId="684791C5">
      <w:pPr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4F4256" w:rsidR="004F4256" w:rsidP="004F4256" w:rsidRDefault="004F4256" w14:paraId="60061E4C" wp14:textId="6152D4FE">
      <w:pPr>
        <w:spacing w:line="240" w:lineRule="auto"/>
        <w:rPr>
          <w:sz w:val="22"/>
          <w:szCs w:val="22"/>
          <w:vertAlign w:val="superscript"/>
        </w:rPr>
      </w:pPr>
    </w:p>
    <w:sectPr w:rsidRPr="004F4256" w:rsidR="004F425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256"/>
    <w:rsid w:val="00281EF6"/>
    <w:rsid w:val="004F4256"/>
    <w:rsid w:val="00BF41C5"/>
    <w:rsid w:val="088CA32B"/>
    <w:rsid w:val="0A220D4F"/>
    <w:rsid w:val="12FF6ED7"/>
    <w:rsid w:val="22C1FB52"/>
    <w:rsid w:val="32323E5C"/>
    <w:rsid w:val="33712A18"/>
    <w:rsid w:val="35B75611"/>
    <w:rsid w:val="3E3E3CB9"/>
    <w:rsid w:val="3F14F4EA"/>
    <w:rsid w:val="4A29DD16"/>
    <w:rsid w:val="4B2171D7"/>
    <w:rsid w:val="500079C9"/>
    <w:rsid w:val="50191809"/>
    <w:rsid w:val="56A5D004"/>
    <w:rsid w:val="573643A0"/>
    <w:rsid w:val="6001C248"/>
    <w:rsid w:val="6D2DBB43"/>
    <w:rsid w:val="744E6A87"/>
    <w:rsid w:val="7A8D9FE7"/>
    <w:rsid w:val="7F99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F2AC"/>
  <w15:chartTrackingRefBased/>
  <w15:docId w15:val="{15E4D0B4-37CD-4C00-A420-45928D2CE7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F4256"/>
    <w:pPr>
      <w:spacing w:after="0" w:line="480" w:lineRule="auto"/>
    </w:pPr>
    <w:rPr>
      <w:rFonts w:ascii="Arial" w:hAnsi="Arial" w:eastAsia="Times New Roman" w:cs="Times New Roman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4F4256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4F4256"/>
    <w:rPr>
      <w:rFonts w:ascii="Arial" w:hAnsi="Arial" w:eastAsia="Times New Roman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jiashenglee@icloud.com</lastModifiedBy>
  <revision>2</revision>
  <dcterms:created xsi:type="dcterms:W3CDTF">2026-05-07T03:30:00.0000000Z</dcterms:created>
  <dcterms:modified xsi:type="dcterms:W3CDTF">2026-06-07T14:22:28.1251041Z</dcterms:modified>
</coreProperties>
</file>