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AB33" w14:textId="77777777" w:rsidR="00922518" w:rsidRDefault="003A2BB9">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PRC 202</w:t>
      </w:r>
      <w:r>
        <w:rPr>
          <w:rFonts w:ascii="Times New Roman" w:eastAsia="Times New Roman" w:hAnsi="Times New Roman" w:cs="Times New Roman"/>
          <w:b/>
          <w:bCs/>
          <w:sz w:val="36"/>
          <w:szCs w:val="36"/>
        </w:rPr>
        <w:t>6</w:t>
      </w:r>
      <w:r>
        <w:rPr>
          <w:rFonts w:ascii="Times New Roman" w:eastAsia="Times New Roman" w:hAnsi="Times New Roman" w:cs="Times New Roman"/>
          <w:b/>
          <w:bCs/>
          <w:color w:val="000000"/>
          <w:sz w:val="36"/>
          <w:szCs w:val="36"/>
        </w:rPr>
        <w:t xml:space="preserve"> Abstract Submission – Format</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0"/>
        <w:gridCol w:w="4900"/>
      </w:tblGrid>
      <w:tr w:rsidR="00922518" w14:paraId="51FC5C98" w14:textId="77777777">
        <w:trPr>
          <w:trHeight w:val="540"/>
        </w:trPr>
        <w:tc>
          <w:tcPr>
            <w:tcW w:w="4100" w:type="dxa"/>
            <w:tcMar>
              <w:top w:w="100" w:type="dxa"/>
              <w:left w:w="100" w:type="dxa"/>
              <w:bottom w:w="100" w:type="dxa"/>
              <w:right w:w="100" w:type="dxa"/>
            </w:tcMar>
          </w:tcPr>
          <w:p w14:paraId="27A96F83" w14:textId="77777777" w:rsidR="00922518" w:rsidRDefault="003A2BB9">
            <w:pPr>
              <w:widowControl w:val="0"/>
              <w:pBdr>
                <w:top w:val="nil"/>
                <w:left w:val="nil"/>
                <w:bottom w:val="nil"/>
                <w:right w:val="nil"/>
                <w:between w:val="nil"/>
              </w:pBdr>
              <w:spacing w:line="240" w:lineRule="auto"/>
              <w:ind w:left="310"/>
              <w:rPr>
                <w:b/>
                <w:bCs/>
                <w:color w:val="000000"/>
                <w:sz w:val="24"/>
                <w:szCs w:val="24"/>
              </w:rPr>
            </w:pPr>
            <w:r>
              <w:rPr>
                <w:b/>
                <w:bCs/>
                <w:color w:val="000000"/>
                <w:sz w:val="24"/>
                <w:szCs w:val="24"/>
              </w:rPr>
              <w:t>Abstract Title</w:t>
            </w:r>
          </w:p>
        </w:tc>
        <w:tc>
          <w:tcPr>
            <w:tcW w:w="4900" w:type="dxa"/>
            <w:tcMar>
              <w:top w:w="100" w:type="dxa"/>
              <w:left w:w="100" w:type="dxa"/>
              <w:bottom w:w="100" w:type="dxa"/>
              <w:right w:w="100" w:type="dxa"/>
            </w:tcMar>
          </w:tcPr>
          <w:p w14:paraId="2A27BFF8" w14:textId="09C07BB6" w:rsidR="00922518" w:rsidRDefault="00B50954">
            <w:pPr>
              <w:widowControl w:val="0"/>
              <w:pBdr>
                <w:top w:val="nil"/>
                <w:left w:val="nil"/>
                <w:bottom w:val="nil"/>
                <w:right w:val="nil"/>
                <w:between w:val="nil"/>
              </w:pBdr>
              <w:rPr>
                <w:b/>
                <w:bCs/>
                <w:color w:val="000000"/>
                <w:sz w:val="24"/>
                <w:szCs w:val="24"/>
              </w:rPr>
            </w:pPr>
            <w:r w:rsidRPr="00B50954">
              <w:rPr>
                <w:b/>
                <w:bCs/>
                <w:color w:val="000000"/>
                <w:sz w:val="24"/>
                <w:szCs w:val="24"/>
              </w:rPr>
              <w:t>A cross-sectional Study of Assessing Knowledge, Attitude, and Practice of 5-Level Malaysian Triage Scale 2022 among Emergency Health Care Workers in Malaysia</w:t>
            </w:r>
          </w:p>
        </w:tc>
      </w:tr>
      <w:tr w:rsidR="00922518" w14:paraId="645FBA49" w14:textId="77777777">
        <w:trPr>
          <w:trHeight w:val="780"/>
        </w:trPr>
        <w:tc>
          <w:tcPr>
            <w:tcW w:w="4100" w:type="dxa"/>
            <w:tcMar>
              <w:top w:w="100" w:type="dxa"/>
              <w:left w:w="100" w:type="dxa"/>
              <w:bottom w:w="100" w:type="dxa"/>
              <w:right w:w="100" w:type="dxa"/>
            </w:tcMar>
          </w:tcPr>
          <w:p w14:paraId="59790258" w14:textId="77777777" w:rsidR="00922518" w:rsidRDefault="003A2BB9">
            <w:pPr>
              <w:widowControl w:val="0"/>
              <w:pBdr>
                <w:top w:val="nil"/>
                <w:left w:val="nil"/>
                <w:bottom w:val="nil"/>
                <w:right w:val="nil"/>
                <w:between w:val="nil"/>
              </w:pBdr>
              <w:spacing w:line="240" w:lineRule="auto"/>
              <w:ind w:right="146"/>
              <w:jc w:val="right"/>
              <w:rPr>
                <w:b/>
                <w:bCs/>
                <w:color w:val="000000"/>
                <w:sz w:val="24"/>
                <w:szCs w:val="24"/>
              </w:rPr>
            </w:pPr>
            <w:r>
              <w:rPr>
                <w:b/>
                <w:bCs/>
                <w:color w:val="000000"/>
                <w:sz w:val="24"/>
                <w:szCs w:val="24"/>
              </w:rPr>
              <w:t xml:space="preserve">Presenting author &amp; co-authors </w:t>
            </w:r>
          </w:p>
        </w:tc>
        <w:tc>
          <w:tcPr>
            <w:tcW w:w="4900" w:type="dxa"/>
            <w:tcMar>
              <w:top w:w="100" w:type="dxa"/>
              <w:left w:w="100" w:type="dxa"/>
              <w:bottom w:w="100" w:type="dxa"/>
              <w:right w:w="100" w:type="dxa"/>
            </w:tcMar>
          </w:tcPr>
          <w:p w14:paraId="125BBC9E" w14:textId="6B816096" w:rsidR="00922518" w:rsidRPr="00B50954" w:rsidRDefault="00B50954" w:rsidP="00B50954">
            <w:pPr>
              <w:widowControl w:val="0"/>
              <w:pBdr>
                <w:top w:val="nil"/>
                <w:left w:val="nil"/>
                <w:bottom w:val="nil"/>
                <w:right w:val="nil"/>
                <w:between w:val="nil"/>
              </w:pBdr>
              <w:spacing w:line="229" w:lineRule="auto"/>
              <w:ind w:right="506"/>
              <w:rPr>
                <w:b/>
                <w:bCs/>
                <w:color w:val="000000"/>
                <w:sz w:val="24"/>
                <w:szCs w:val="24"/>
              </w:rPr>
            </w:pPr>
            <w:r w:rsidRPr="00B50954">
              <w:rPr>
                <w:rFonts w:ascii="Times New Roman" w:hAnsi="Times New Roman" w:cs="Times New Roman"/>
                <w:b/>
                <w:bCs/>
                <w:color w:val="000000"/>
                <w:sz w:val="24"/>
                <w:szCs w:val="24"/>
              </w:rPr>
              <w:t>Muhammad Khidir Mohd Kamil</w:t>
            </w:r>
            <w:r w:rsidRPr="00B50954">
              <w:rPr>
                <w:rFonts w:ascii="Times New Roman" w:hAnsi="Times New Roman" w:cs="Times New Roman"/>
                <w:b/>
                <w:bCs/>
                <w:color w:val="000000"/>
                <w:sz w:val="24"/>
                <w:szCs w:val="24"/>
                <w:vertAlign w:val="superscript"/>
              </w:rPr>
              <w:t>a</w:t>
            </w:r>
            <w:r w:rsidRPr="00B50954">
              <w:rPr>
                <w:rFonts w:ascii="Times New Roman" w:hAnsi="Times New Roman" w:cs="Times New Roman"/>
                <w:b/>
                <w:bCs/>
                <w:color w:val="000000"/>
                <w:sz w:val="24"/>
                <w:szCs w:val="24"/>
              </w:rPr>
              <w:t>, Rashidi Ahmad</w:t>
            </w:r>
            <w:r w:rsidRPr="00B50954">
              <w:rPr>
                <w:rFonts w:ascii="Times New Roman" w:hAnsi="Times New Roman" w:cs="Times New Roman"/>
                <w:b/>
                <w:bCs/>
                <w:color w:val="000000"/>
                <w:sz w:val="24"/>
                <w:szCs w:val="24"/>
                <w:vertAlign w:val="superscript"/>
              </w:rPr>
              <w:t>b</w:t>
            </w:r>
            <w:r w:rsidRPr="00B50954">
              <w:rPr>
                <w:rFonts w:ascii="Times New Roman" w:hAnsi="Times New Roman" w:cs="Times New Roman"/>
                <w:b/>
                <w:bCs/>
                <w:color w:val="000000"/>
                <w:sz w:val="24"/>
                <w:szCs w:val="24"/>
              </w:rPr>
              <w:t xml:space="preserve">, Mohd </w:t>
            </w:r>
            <w:proofErr w:type="spellStart"/>
            <w:r w:rsidRPr="00B50954">
              <w:rPr>
                <w:rFonts w:ascii="Times New Roman" w:hAnsi="Times New Roman" w:cs="Times New Roman"/>
                <w:b/>
                <w:bCs/>
                <w:color w:val="000000"/>
                <w:sz w:val="24"/>
                <w:szCs w:val="24"/>
              </w:rPr>
              <w:t>Anizan</w:t>
            </w:r>
            <w:proofErr w:type="spellEnd"/>
            <w:r w:rsidRPr="00B50954">
              <w:rPr>
                <w:rFonts w:ascii="Times New Roman" w:hAnsi="Times New Roman" w:cs="Times New Roman"/>
                <w:b/>
                <w:bCs/>
                <w:color w:val="000000"/>
                <w:sz w:val="24"/>
                <w:szCs w:val="24"/>
              </w:rPr>
              <w:t xml:space="preserve"> Aziz</w:t>
            </w:r>
            <w:r w:rsidRPr="00B50954">
              <w:rPr>
                <w:rFonts w:ascii="Times New Roman" w:hAnsi="Times New Roman" w:cs="Times New Roman"/>
                <w:b/>
                <w:bCs/>
                <w:color w:val="000000"/>
                <w:sz w:val="24"/>
                <w:szCs w:val="24"/>
                <w:vertAlign w:val="superscript"/>
              </w:rPr>
              <w:t>c</w:t>
            </w:r>
            <w:r w:rsidRPr="00B50954">
              <w:rPr>
                <w:rFonts w:ascii="Times New Roman" w:hAnsi="Times New Roman" w:cs="Times New Roman"/>
                <w:b/>
                <w:bCs/>
                <w:color w:val="000000"/>
                <w:sz w:val="24"/>
                <w:szCs w:val="24"/>
              </w:rPr>
              <w:t xml:space="preserve">, </w:t>
            </w:r>
            <w:proofErr w:type="spellStart"/>
            <w:r w:rsidRPr="00B50954">
              <w:rPr>
                <w:rFonts w:ascii="Times New Roman" w:hAnsi="Times New Roman" w:cs="Times New Roman"/>
                <w:b/>
                <w:bCs/>
                <w:color w:val="000000"/>
                <w:sz w:val="24"/>
                <w:szCs w:val="24"/>
              </w:rPr>
              <w:t>Samsu</w:t>
            </w:r>
            <w:proofErr w:type="spellEnd"/>
            <w:r w:rsidRPr="00B50954">
              <w:rPr>
                <w:rFonts w:ascii="Times New Roman" w:hAnsi="Times New Roman" w:cs="Times New Roman"/>
                <w:b/>
                <w:bCs/>
                <w:color w:val="000000"/>
                <w:sz w:val="24"/>
                <w:szCs w:val="24"/>
              </w:rPr>
              <w:t xml:space="preserve"> Ambia </w:t>
            </w:r>
            <w:proofErr w:type="spellStart"/>
            <w:r w:rsidRPr="00B50954">
              <w:rPr>
                <w:rFonts w:ascii="Times New Roman" w:hAnsi="Times New Roman" w:cs="Times New Roman"/>
                <w:b/>
                <w:bCs/>
                <w:color w:val="000000"/>
                <w:sz w:val="24"/>
                <w:szCs w:val="24"/>
              </w:rPr>
              <w:t>Ismail</w:t>
            </w:r>
            <w:r w:rsidRPr="00B50954">
              <w:rPr>
                <w:rFonts w:ascii="Times New Roman" w:hAnsi="Times New Roman" w:cs="Times New Roman"/>
                <w:b/>
                <w:bCs/>
                <w:color w:val="000000"/>
                <w:sz w:val="24"/>
                <w:szCs w:val="24"/>
                <w:vertAlign w:val="superscript"/>
              </w:rPr>
              <w:t>c</w:t>
            </w:r>
            <w:proofErr w:type="spellEnd"/>
            <w:r w:rsidRPr="00B50954">
              <w:rPr>
                <w:rFonts w:ascii="Times New Roman" w:hAnsi="Times New Roman" w:cs="Times New Roman"/>
                <w:b/>
                <w:bCs/>
                <w:color w:val="000000"/>
                <w:sz w:val="24"/>
                <w:szCs w:val="24"/>
              </w:rPr>
              <w:t>, Farah Alwi</w:t>
            </w:r>
            <w:r w:rsidRPr="00B50954">
              <w:rPr>
                <w:rFonts w:ascii="Times New Roman" w:hAnsi="Times New Roman" w:cs="Times New Roman"/>
                <w:b/>
                <w:bCs/>
                <w:color w:val="000000"/>
                <w:sz w:val="24"/>
                <w:szCs w:val="24"/>
                <w:vertAlign w:val="superscript"/>
              </w:rPr>
              <w:t>d</w:t>
            </w:r>
            <w:r w:rsidRPr="00B50954">
              <w:rPr>
                <w:rFonts w:ascii="Times New Roman" w:hAnsi="Times New Roman" w:cs="Times New Roman"/>
                <w:b/>
                <w:bCs/>
                <w:color w:val="000000"/>
                <w:sz w:val="24"/>
                <w:szCs w:val="24"/>
              </w:rPr>
              <w:t xml:space="preserve">, </w:t>
            </w:r>
            <w:proofErr w:type="spellStart"/>
            <w:r w:rsidRPr="00B50954">
              <w:rPr>
                <w:rFonts w:ascii="Times New Roman" w:hAnsi="Times New Roman" w:cs="Times New Roman"/>
                <w:b/>
                <w:bCs/>
                <w:color w:val="000000"/>
                <w:sz w:val="24"/>
                <w:szCs w:val="24"/>
              </w:rPr>
              <w:t>Tirumal</w:t>
            </w:r>
            <w:proofErr w:type="spellEnd"/>
            <w:r w:rsidRPr="00B50954">
              <w:rPr>
                <w:rFonts w:ascii="Times New Roman" w:hAnsi="Times New Roman" w:cs="Times New Roman"/>
                <w:b/>
                <w:bCs/>
                <w:color w:val="000000"/>
                <w:sz w:val="24"/>
                <w:szCs w:val="24"/>
              </w:rPr>
              <w:t xml:space="preserve"> </w:t>
            </w:r>
            <w:proofErr w:type="spellStart"/>
            <w:r w:rsidRPr="00B50954">
              <w:rPr>
                <w:rFonts w:ascii="Times New Roman" w:hAnsi="Times New Roman" w:cs="Times New Roman"/>
                <w:b/>
                <w:bCs/>
                <w:color w:val="000000"/>
                <w:sz w:val="24"/>
                <w:szCs w:val="24"/>
              </w:rPr>
              <w:t>Subramaniam</w:t>
            </w:r>
            <w:r w:rsidRPr="00B50954">
              <w:rPr>
                <w:rFonts w:ascii="Times New Roman" w:hAnsi="Times New Roman" w:cs="Times New Roman"/>
                <w:b/>
                <w:bCs/>
                <w:color w:val="000000"/>
                <w:sz w:val="24"/>
                <w:szCs w:val="24"/>
                <w:vertAlign w:val="superscript"/>
              </w:rPr>
              <w:t>e</w:t>
            </w:r>
            <w:proofErr w:type="spellEnd"/>
            <w:r w:rsidRPr="00B50954">
              <w:rPr>
                <w:rFonts w:ascii="Times New Roman" w:hAnsi="Times New Roman" w:cs="Times New Roman"/>
                <w:b/>
                <w:bCs/>
                <w:color w:val="000000"/>
                <w:sz w:val="24"/>
                <w:szCs w:val="24"/>
              </w:rPr>
              <w:t xml:space="preserve">, </w:t>
            </w:r>
            <w:proofErr w:type="spellStart"/>
            <w:r w:rsidRPr="00B50954">
              <w:rPr>
                <w:rFonts w:ascii="Times New Roman" w:hAnsi="Times New Roman" w:cs="Times New Roman"/>
                <w:b/>
                <w:bCs/>
                <w:color w:val="000000"/>
                <w:sz w:val="24"/>
                <w:szCs w:val="24"/>
              </w:rPr>
              <w:t>Izruf</w:t>
            </w:r>
            <w:proofErr w:type="spellEnd"/>
            <w:r w:rsidRPr="00B50954">
              <w:rPr>
                <w:rFonts w:ascii="Times New Roman" w:hAnsi="Times New Roman" w:cs="Times New Roman"/>
                <w:b/>
                <w:bCs/>
                <w:color w:val="000000"/>
                <w:sz w:val="24"/>
                <w:szCs w:val="24"/>
              </w:rPr>
              <w:t xml:space="preserve"> </w:t>
            </w:r>
            <w:proofErr w:type="spellStart"/>
            <w:r w:rsidRPr="00B50954">
              <w:rPr>
                <w:rFonts w:ascii="Times New Roman" w:hAnsi="Times New Roman" w:cs="Times New Roman"/>
                <w:b/>
                <w:bCs/>
                <w:color w:val="000000"/>
                <w:sz w:val="24"/>
                <w:szCs w:val="24"/>
              </w:rPr>
              <w:t>Qabil</w:t>
            </w:r>
            <w:r w:rsidRPr="00B50954">
              <w:rPr>
                <w:rFonts w:ascii="Times New Roman" w:hAnsi="Times New Roman" w:cs="Times New Roman"/>
                <w:b/>
                <w:bCs/>
                <w:color w:val="000000"/>
                <w:sz w:val="24"/>
                <w:szCs w:val="24"/>
                <w:vertAlign w:val="superscript"/>
              </w:rPr>
              <w:t>f</w:t>
            </w:r>
            <w:proofErr w:type="spellEnd"/>
          </w:p>
        </w:tc>
      </w:tr>
      <w:tr w:rsidR="00922518" w14:paraId="5616B045" w14:textId="77777777">
        <w:trPr>
          <w:trHeight w:val="540"/>
        </w:trPr>
        <w:tc>
          <w:tcPr>
            <w:tcW w:w="4100" w:type="dxa"/>
            <w:tcMar>
              <w:top w:w="100" w:type="dxa"/>
              <w:left w:w="100" w:type="dxa"/>
              <w:bottom w:w="100" w:type="dxa"/>
              <w:right w:w="100" w:type="dxa"/>
            </w:tcMar>
          </w:tcPr>
          <w:p w14:paraId="477A67E6" w14:textId="77777777" w:rsidR="00922518" w:rsidRDefault="003A2BB9">
            <w:pPr>
              <w:widowControl w:val="0"/>
              <w:pBdr>
                <w:top w:val="nil"/>
                <w:left w:val="nil"/>
                <w:bottom w:val="nil"/>
                <w:right w:val="nil"/>
                <w:between w:val="nil"/>
              </w:pBdr>
              <w:spacing w:line="240" w:lineRule="auto"/>
              <w:ind w:left="310"/>
              <w:rPr>
                <w:b/>
                <w:bCs/>
                <w:color w:val="000000"/>
                <w:sz w:val="24"/>
                <w:szCs w:val="24"/>
              </w:rPr>
            </w:pPr>
            <w:r>
              <w:rPr>
                <w:b/>
                <w:bCs/>
                <w:color w:val="000000"/>
                <w:sz w:val="24"/>
                <w:szCs w:val="24"/>
              </w:rPr>
              <w:t>Affiliation of all authors</w:t>
            </w:r>
          </w:p>
        </w:tc>
        <w:tc>
          <w:tcPr>
            <w:tcW w:w="4900" w:type="dxa"/>
            <w:tcMar>
              <w:top w:w="100" w:type="dxa"/>
              <w:left w:w="100" w:type="dxa"/>
              <w:bottom w:w="100" w:type="dxa"/>
              <w:right w:w="100" w:type="dxa"/>
            </w:tcMar>
          </w:tcPr>
          <w:p w14:paraId="62EC0906" w14:textId="3D3CB8B3" w:rsidR="00B50954" w:rsidRDefault="00B50954" w:rsidP="00B50954">
            <w:pPr>
              <w:widowControl w:val="0"/>
              <w:pBdr>
                <w:top w:val="nil"/>
                <w:left w:val="nil"/>
                <w:bottom w:val="nil"/>
                <w:right w:val="nil"/>
                <w:between w:val="nil"/>
              </w:pBdr>
              <w:rPr>
                <w:b/>
                <w:bCs/>
                <w:color w:val="000000"/>
                <w:sz w:val="24"/>
                <w:szCs w:val="24"/>
              </w:rPr>
            </w:pPr>
            <w:proofErr w:type="spellStart"/>
            <w:r w:rsidRPr="00B50954">
              <w:rPr>
                <w:b/>
                <w:bCs/>
                <w:color w:val="000000"/>
                <w:sz w:val="24"/>
                <w:szCs w:val="24"/>
                <w:vertAlign w:val="superscript"/>
              </w:rPr>
              <w:t>a</w:t>
            </w:r>
            <w:r>
              <w:rPr>
                <w:b/>
                <w:bCs/>
                <w:color w:val="000000"/>
                <w:sz w:val="24"/>
                <w:szCs w:val="24"/>
              </w:rPr>
              <w:t>Emergency</w:t>
            </w:r>
            <w:proofErr w:type="spellEnd"/>
            <w:r>
              <w:rPr>
                <w:b/>
                <w:bCs/>
                <w:color w:val="000000"/>
                <w:sz w:val="24"/>
                <w:szCs w:val="24"/>
              </w:rPr>
              <w:t xml:space="preserve"> and Trauma Unit, Seri Iskandar Hospital</w:t>
            </w:r>
          </w:p>
          <w:p w14:paraId="0E6B8CF9" w14:textId="77777777" w:rsidR="00B50954" w:rsidRPr="00B50954" w:rsidRDefault="00B50954" w:rsidP="00B50954">
            <w:pPr>
              <w:widowControl w:val="0"/>
              <w:pBdr>
                <w:top w:val="nil"/>
                <w:left w:val="nil"/>
                <w:bottom w:val="nil"/>
                <w:right w:val="nil"/>
                <w:between w:val="nil"/>
              </w:pBdr>
              <w:rPr>
                <w:b/>
                <w:bCs/>
                <w:color w:val="000000"/>
                <w:sz w:val="24"/>
                <w:szCs w:val="24"/>
                <w:lang w:val="en-US"/>
              </w:rPr>
            </w:pPr>
            <w:r w:rsidRPr="00B50954">
              <w:rPr>
                <w:b/>
                <w:bCs/>
                <w:color w:val="000000"/>
                <w:sz w:val="24"/>
                <w:szCs w:val="24"/>
                <w:vertAlign w:val="superscript"/>
              </w:rPr>
              <w:t>b</w:t>
            </w:r>
            <w:r w:rsidRPr="00B50954">
              <w:rPr>
                <w:b/>
                <w:bCs/>
                <w:color w:val="000000"/>
                <w:sz w:val="24"/>
                <w:szCs w:val="24"/>
                <w:lang w:val="en-US"/>
              </w:rPr>
              <w:t>Emergency and Trauma Department, KPJ Seremban Specialist Hospital</w:t>
            </w:r>
          </w:p>
          <w:p w14:paraId="14C2C43F" w14:textId="4F0BF656" w:rsidR="00B50954" w:rsidRPr="00B50954" w:rsidRDefault="00B50954" w:rsidP="00B50954">
            <w:pPr>
              <w:widowControl w:val="0"/>
              <w:pBdr>
                <w:top w:val="nil"/>
                <w:left w:val="nil"/>
                <w:bottom w:val="nil"/>
                <w:right w:val="nil"/>
                <w:between w:val="nil"/>
              </w:pBdr>
              <w:rPr>
                <w:b/>
                <w:bCs/>
                <w:color w:val="000000"/>
                <w:sz w:val="24"/>
                <w:szCs w:val="24"/>
              </w:rPr>
            </w:pPr>
            <w:proofErr w:type="spellStart"/>
            <w:r>
              <w:rPr>
                <w:b/>
                <w:bCs/>
                <w:color w:val="000000"/>
                <w:sz w:val="24"/>
                <w:szCs w:val="24"/>
                <w:vertAlign w:val="superscript"/>
              </w:rPr>
              <w:t>c</w:t>
            </w:r>
            <w:r w:rsidRPr="00B50954">
              <w:rPr>
                <w:b/>
                <w:bCs/>
                <w:color w:val="000000"/>
                <w:sz w:val="24"/>
                <w:szCs w:val="24"/>
              </w:rPr>
              <w:t>Emergency</w:t>
            </w:r>
            <w:proofErr w:type="spellEnd"/>
            <w:r w:rsidRPr="00B50954">
              <w:rPr>
                <w:b/>
                <w:bCs/>
                <w:color w:val="000000"/>
                <w:sz w:val="24"/>
                <w:szCs w:val="24"/>
              </w:rPr>
              <w:t xml:space="preserve"> and Trauma Department, </w:t>
            </w:r>
            <w:proofErr w:type="spellStart"/>
            <w:r w:rsidRPr="00B50954">
              <w:rPr>
                <w:b/>
                <w:bCs/>
                <w:color w:val="000000"/>
                <w:sz w:val="24"/>
                <w:szCs w:val="24"/>
              </w:rPr>
              <w:t>Teluk</w:t>
            </w:r>
            <w:proofErr w:type="spellEnd"/>
            <w:r w:rsidRPr="00B50954">
              <w:rPr>
                <w:b/>
                <w:bCs/>
                <w:color w:val="000000"/>
                <w:sz w:val="24"/>
                <w:szCs w:val="24"/>
              </w:rPr>
              <w:t xml:space="preserve"> Intan Hospital</w:t>
            </w:r>
          </w:p>
          <w:p w14:paraId="0FD5B12F" w14:textId="019175E3" w:rsidR="00B50954" w:rsidRPr="00B50954" w:rsidRDefault="00B50954" w:rsidP="00B50954">
            <w:pPr>
              <w:widowControl w:val="0"/>
              <w:pBdr>
                <w:top w:val="nil"/>
                <w:left w:val="nil"/>
                <w:bottom w:val="nil"/>
                <w:right w:val="nil"/>
                <w:between w:val="nil"/>
              </w:pBdr>
              <w:rPr>
                <w:b/>
                <w:bCs/>
                <w:color w:val="000000"/>
                <w:sz w:val="24"/>
                <w:szCs w:val="24"/>
              </w:rPr>
            </w:pPr>
            <w:r>
              <w:rPr>
                <w:b/>
                <w:bCs/>
                <w:color w:val="000000"/>
                <w:sz w:val="24"/>
                <w:szCs w:val="24"/>
                <w:vertAlign w:val="superscript"/>
                <w:lang w:val="en-US"/>
              </w:rPr>
              <w:t>d</w:t>
            </w:r>
            <w:r w:rsidRPr="00B50954">
              <w:rPr>
                <w:b/>
                <w:bCs/>
                <w:color w:val="000000"/>
                <w:sz w:val="24"/>
                <w:szCs w:val="24"/>
              </w:rPr>
              <w:t>Department of Emergency Medicine and Trauma, Seri Manjung Hospital</w:t>
            </w:r>
          </w:p>
          <w:p w14:paraId="13FB0FE6" w14:textId="0C7634D7" w:rsidR="00B50954" w:rsidRPr="00B50954" w:rsidRDefault="00B50954" w:rsidP="00B50954">
            <w:pPr>
              <w:widowControl w:val="0"/>
              <w:pBdr>
                <w:top w:val="nil"/>
                <w:left w:val="nil"/>
                <w:bottom w:val="nil"/>
                <w:right w:val="nil"/>
                <w:between w:val="nil"/>
              </w:pBdr>
              <w:rPr>
                <w:b/>
                <w:bCs/>
                <w:color w:val="000000"/>
                <w:sz w:val="24"/>
                <w:szCs w:val="24"/>
              </w:rPr>
            </w:pPr>
            <w:proofErr w:type="spellStart"/>
            <w:r>
              <w:rPr>
                <w:b/>
                <w:bCs/>
                <w:color w:val="000000"/>
                <w:sz w:val="24"/>
                <w:szCs w:val="24"/>
                <w:vertAlign w:val="superscript"/>
              </w:rPr>
              <w:t>e</w:t>
            </w:r>
            <w:r w:rsidRPr="00B50954">
              <w:rPr>
                <w:b/>
                <w:bCs/>
                <w:color w:val="000000"/>
                <w:sz w:val="24"/>
                <w:szCs w:val="24"/>
              </w:rPr>
              <w:t>Department</w:t>
            </w:r>
            <w:proofErr w:type="spellEnd"/>
            <w:r w:rsidRPr="00B50954">
              <w:rPr>
                <w:b/>
                <w:bCs/>
                <w:color w:val="000000"/>
                <w:sz w:val="24"/>
                <w:szCs w:val="24"/>
              </w:rPr>
              <w:t xml:space="preserve"> of Emergency Medicine and Trauma, </w:t>
            </w:r>
            <w:r>
              <w:rPr>
                <w:b/>
                <w:bCs/>
                <w:color w:val="000000"/>
                <w:sz w:val="24"/>
                <w:szCs w:val="24"/>
              </w:rPr>
              <w:t>Batu Gajah Hospital</w:t>
            </w:r>
          </w:p>
          <w:p w14:paraId="219DAA65" w14:textId="2ABE50C6" w:rsidR="00B50954" w:rsidRPr="00B50954" w:rsidRDefault="00B50954" w:rsidP="00B50954">
            <w:pPr>
              <w:widowControl w:val="0"/>
              <w:pBdr>
                <w:top w:val="nil"/>
                <w:left w:val="nil"/>
                <w:bottom w:val="nil"/>
                <w:right w:val="nil"/>
                <w:between w:val="nil"/>
              </w:pBdr>
              <w:rPr>
                <w:b/>
                <w:bCs/>
                <w:color w:val="000000"/>
                <w:sz w:val="24"/>
                <w:szCs w:val="24"/>
              </w:rPr>
            </w:pPr>
            <w:proofErr w:type="spellStart"/>
            <w:r>
              <w:rPr>
                <w:b/>
                <w:bCs/>
                <w:color w:val="000000"/>
                <w:sz w:val="24"/>
                <w:szCs w:val="24"/>
                <w:vertAlign w:val="superscript"/>
              </w:rPr>
              <w:t>f</w:t>
            </w:r>
            <w:r w:rsidRPr="00B50954">
              <w:rPr>
                <w:b/>
                <w:bCs/>
                <w:color w:val="000000"/>
                <w:sz w:val="24"/>
                <w:szCs w:val="24"/>
              </w:rPr>
              <w:t>Department</w:t>
            </w:r>
            <w:proofErr w:type="spellEnd"/>
            <w:r w:rsidRPr="00B50954">
              <w:rPr>
                <w:b/>
                <w:bCs/>
                <w:color w:val="000000"/>
                <w:sz w:val="24"/>
                <w:szCs w:val="24"/>
              </w:rPr>
              <w:t xml:space="preserve"> of Emergency Medicine and Trauma, Taiping Hospital</w:t>
            </w:r>
          </w:p>
          <w:p w14:paraId="3DF0B32E" w14:textId="77777777" w:rsidR="00922518" w:rsidRDefault="00922518">
            <w:pPr>
              <w:widowControl w:val="0"/>
              <w:pBdr>
                <w:top w:val="nil"/>
                <w:left w:val="nil"/>
                <w:bottom w:val="nil"/>
                <w:right w:val="nil"/>
                <w:between w:val="nil"/>
              </w:pBdr>
              <w:rPr>
                <w:b/>
                <w:bCs/>
                <w:color w:val="000000"/>
                <w:sz w:val="24"/>
                <w:szCs w:val="24"/>
              </w:rPr>
            </w:pPr>
          </w:p>
        </w:tc>
      </w:tr>
      <w:tr w:rsidR="00922518" w14:paraId="202C30AC" w14:textId="77777777">
        <w:trPr>
          <w:trHeight w:val="10500"/>
        </w:trPr>
        <w:tc>
          <w:tcPr>
            <w:tcW w:w="9000" w:type="dxa"/>
            <w:gridSpan w:val="2"/>
            <w:tcMar>
              <w:top w:w="100" w:type="dxa"/>
              <w:left w:w="100" w:type="dxa"/>
              <w:bottom w:w="100" w:type="dxa"/>
              <w:right w:w="100" w:type="dxa"/>
            </w:tcMar>
          </w:tcPr>
          <w:p w14:paraId="3F7528A0" w14:textId="77777777" w:rsidR="00922518" w:rsidRDefault="003A2BB9">
            <w:pPr>
              <w:widowControl w:val="0"/>
              <w:pBdr>
                <w:top w:val="nil"/>
                <w:left w:val="nil"/>
                <w:bottom w:val="nil"/>
                <w:right w:val="nil"/>
                <w:between w:val="nil"/>
              </w:pBdr>
              <w:spacing w:line="240" w:lineRule="auto"/>
              <w:ind w:left="321"/>
              <w:rPr>
                <w:b/>
                <w:bCs/>
                <w:color w:val="000000"/>
                <w:sz w:val="24"/>
                <w:szCs w:val="24"/>
              </w:rPr>
            </w:pPr>
            <w:r>
              <w:rPr>
                <w:b/>
                <w:bCs/>
                <w:color w:val="000000"/>
                <w:sz w:val="24"/>
                <w:szCs w:val="24"/>
                <w:u w:val="single"/>
              </w:rPr>
              <w:lastRenderedPageBreak/>
              <w:t>Clinical Studies</w:t>
            </w:r>
            <w:r>
              <w:rPr>
                <w:b/>
                <w:bCs/>
                <w:color w:val="000000"/>
                <w:sz w:val="24"/>
                <w:szCs w:val="24"/>
              </w:rPr>
              <w:t xml:space="preserve"> </w:t>
            </w:r>
          </w:p>
          <w:p w14:paraId="4E94A887" w14:textId="77777777" w:rsidR="00875594" w:rsidRDefault="003A2BB9" w:rsidP="003D1D25">
            <w:pPr>
              <w:widowControl w:val="0"/>
              <w:pBdr>
                <w:top w:val="nil"/>
                <w:left w:val="nil"/>
                <w:bottom w:val="nil"/>
                <w:right w:val="nil"/>
                <w:between w:val="nil"/>
              </w:pBdr>
              <w:spacing w:before="206" w:line="240" w:lineRule="auto"/>
              <w:ind w:left="495" w:hanging="36"/>
              <w:rPr>
                <w:color w:val="000000"/>
                <w:sz w:val="24"/>
                <w:szCs w:val="24"/>
              </w:rPr>
            </w:pPr>
            <w:r>
              <w:rPr>
                <w:color w:val="000000"/>
                <w:sz w:val="24"/>
                <w:szCs w:val="24"/>
              </w:rPr>
              <w:t xml:space="preserve">● </w:t>
            </w:r>
            <w:r>
              <w:rPr>
                <w:b/>
                <w:bCs/>
                <w:color w:val="000000"/>
                <w:sz w:val="24"/>
                <w:szCs w:val="24"/>
              </w:rPr>
              <w:t xml:space="preserve">Introduction and Objectives </w:t>
            </w:r>
            <w:r>
              <w:rPr>
                <w:color w:val="000000"/>
                <w:sz w:val="24"/>
                <w:szCs w:val="24"/>
              </w:rPr>
              <w:t xml:space="preserve">– </w:t>
            </w:r>
            <w:r w:rsidR="00875594" w:rsidRPr="00875594">
              <w:rPr>
                <w:color w:val="000000"/>
                <w:sz w:val="24"/>
                <w:szCs w:val="24"/>
              </w:rPr>
              <w:t>The traditional 3-level Emergency Department (ED) triage scale was replaced with a 5-level scale due to poor inter-rater agreement. Consequently, the Ministry of Health Malaysia (MOH) introduced the 5-level Malaysian Triage Scale (MTS) 2022. This study aims to evaluate the knowledge, attitude, and practice (KAP) regarding the MTS 2022 protocol among emergency healthcare workers (HCWs).</w:t>
            </w:r>
          </w:p>
          <w:p w14:paraId="384A2E90" w14:textId="79890F16" w:rsidR="00875594" w:rsidRPr="00875594" w:rsidRDefault="003A2BB9" w:rsidP="00875594">
            <w:pPr>
              <w:widowControl w:val="0"/>
              <w:pBdr>
                <w:top w:val="nil"/>
                <w:left w:val="nil"/>
                <w:bottom w:val="nil"/>
                <w:right w:val="nil"/>
                <w:between w:val="nil"/>
              </w:pBdr>
              <w:spacing w:before="206" w:line="240" w:lineRule="auto"/>
              <w:ind w:left="495" w:hanging="36"/>
              <w:rPr>
                <w:color w:val="000000"/>
                <w:sz w:val="24"/>
                <w:szCs w:val="24"/>
              </w:rPr>
            </w:pPr>
            <w:r>
              <w:rPr>
                <w:color w:val="000000"/>
                <w:sz w:val="24"/>
                <w:szCs w:val="24"/>
              </w:rPr>
              <w:t xml:space="preserve">● </w:t>
            </w:r>
            <w:r>
              <w:rPr>
                <w:b/>
                <w:bCs/>
                <w:color w:val="000000"/>
                <w:sz w:val="24"/>
                <w:szCs w:val="24"/>
              </w:rPr>
              <w:t xml:space="preserve">Methodology </w:t>
            </w:r>
            <w:r>
              <w:rPr>
                <w:color w:val="000000"/>
                <w:sz w:val="24"/>
                <w:szCs w:val="24"/>
              </w:rPr>
              <w:t xml:space="preserve">– </w:t>
            </w:r>
            <w:r w:rsidR="00875594">
              <w:rPr>
                <w:color w:val="000000"/>
                <w:sz w:val="24"/>
                <w:szCs w:val="24"/>
              </w:rPr>
              <w:t>T</w:t>
            </w:r>
            <w:r w:rsidR="00875594" w:rsidRPr="00875594">
              <w:rPr>
                <w:color w:val="000000"/>
                <w:sz w:val="24"/>
                <w:szCs w:val="24"/>
              </w:rPr>
              <w:t xml:space="preserve">his prospective, cross-sectional study was conducted via a validated online questionnaire from December 1, 2023, to November 30, 2024. Eligible participants included emergency physicians, medical officers, nurses, and assistant medical officers across </w:t>
            </w:r>
            <w:r w:rsidR="00875594">
              <w:rPr>
                <w:color w:val="000000"/>
                <w:sz w:val="24"/>
                <w:szCs w:val="24"/>
              </w:rPr>
              <w:t xml:space="preserve">ED in the </w:t>
            </w:r>
            <w:r w:rsidR="00875594" w:rsidRPr="00875594">
              <w:rPr>
                <w:color w:val="000000"/>
                <w:sz w:val="24"/>
                <w:szCs w:val="24"/>
              </w:rPr>
              <w:t>MOH hospitals. Using convenience sampling, a Google Forms link was distributed digitally</w:t>
            </w:r>
            <w:r w:rsidR="00875594">
              <w:rPr>
                <w:color w:val="000000"/>
                <w:sz w:val="24"/>
                <w:szCs w:val="24"/>
              </w:rPr>
              <w:t xml:space="preserve"> via email and WhatsApp </w:t>
            </w:r>
            <w:r w:rsidR="00875594" w:rsidRPr="00875594">
              <w:rPr>
                <w:color w:val="000000"/>
                <w:sz w:val="24"/>
                <w:szCs w:val="24"/>
              </w:rPr>
              <w:t xml:space="preserve">to achieve a target sample size of 370 (calculated via </w:t>
            </w:r>
            <w:proofErr w:type="spellStart"/>
            <w:r w:rsidR="00875594" w:rsidRPr="00875594">
              <w:rPr>
                <w:color w:val="000000"/>
                <w:sz w:val="24"/>
                <w:szCs w:val="24"/>
              </w:rPr>
              <w:t>Krejcie</w:t>
            </w:r>
            <w:proofErr w:type="spellEnd"/>
            <w:r w:rsidR="00875594" w:rsidRPr="00875594">
              <w:rPr>
                <w:color w:val="000000"/>
                <w:sz w:val="24"/>
                <w:szCs w:val="24"/>
              </w:rPr>
              <w:t xml:space="preserve"> and Morgan). The questionnaire was validated by five external reviewers, yielding content validity indexes (CVI) of 0.90, 0.85, and 0.85 for the KAP domains, respectively, with an overall Cronbach’s alpha of 0.80. Incomplete responses were excluded.</w:t>
            </w:r>
            <w:r w:rsidR="00411B84">
              <w:rPr>
                <w:color w:val="000000"/>
                <w:sz w:val="24"/>
                <w:szCs w:val="24"/>
              </w:rPr>
              <w:t xml:space="preserve"> </w:t>
            </w:r>
            <w:r w:rsidR="00411B84" w:rsidRPr="00411B84">
              <w:rPr>
                <w:color w:val="000000"/>
                <w:sz w:val="24"/>
                <w:szCs w:val="24"/>
              </w:rPr>
              <w:t>The instrument comprised 43 items: knowledge and practice domains were scored binary (1 for correct/standard, 0 for incorrect/substandard), while the attitude domain utilized a 5-point Likert scale. Knowledge and practice levels were categorized using Bloom’s cut-off points: good (&gt;80%), average (60%–79.9%), and poor (&lt;60%). Attitude scores were classified as positive, neutral, or negative.</w:t>
            </w:r>
          </w:p>
          <w:p w14:paraId="073A45EF" w14:textId="77777777" w:rsidR="003D1D25" w:rsidRPr="00B50954" w:rsidRDefault="003D1D25" w:rsidP="00411B84">
            <w:pPr>
              <w:widowControl w:val="0"/>
              <w:pBdr>
                <w:top w:val="nil"/>
                <w:left w:val="nil"/>
                <w:bottom w:val="nil"/>
                <w:right w:val="nil"/>
                <w:between w:val="nil"/>
              </w:pBdr>
              <w:spacing w:before="206" w:line="240" w:lineRule="auto"/>
              <w:rPr>
                <w:color w:val="000000"/>
                <w:sz w:val="24"/>
                <w:szCs w:val="24"/>
              </w:rPr>
            </w:pPr>
          </w:p>
          <w:p w14:paraId="3F001894" w14:textId="328019F9" w:rsidR="00B617E6" w:rsidRPr="00B617E6" w:rsidRDefault="003A2BB9" w:rsidP="00B617E6">
            <w:pPr>
              <w:spacing w:line="240" w:lineRule="auto"/>
              <w:ind w:left="459"/>
              <w:jc w:val="both"/>
              <w:rPr>
                <w:sz w:val="24"/>
                <w:szCs w:val="24"/>
              </w:rPr>
            </w:pPr>
            <w:r>
              <w:rPr>
                <w:color w:val="000000"/>
                <w:sz w:val="24"/>
                <w:szCs w:val="24"/>
              </w:rPr>
              <w:t xml:space="preserve">● </w:t>
            </w:r>
            <w:r>
              <w:rPr>
                <w:b/>
                <w:bCs/>
                <w:color w:val="000000"/>
                <w:sz w:val="24"/>
                <w:szCs w:val="24"/>
              </w:rPr>
              <w:t xml:space="preserve">Results </w:t>
            </w:r>
            <w:r>
              <w:rPr>
                <w:color w:val="000000"/>
                <w:sz w:val="24"/>
                <w:szCs w:val="24"/>
              </w:rPr>
              <w:t>–</w:t>
            </w:r>
            <w:r w:rsidR="003D1D25">
              <w:rPr>
                <w:color w:val="000000"/>
                <w:sz w:val="24"/>
                <w:szCs w:val="24"/>
              </w:rPr>
              <w:t xml:space="preserve"> </w:t>
            </w:r>
            <w:r w:rsidR="00B617E6" w:rsidRPr="00B617E6">
              <w:rPr>
                <w:sz w:val="24"/>
                <w:szCs w:val="24"/>
              </w:rPr>
              <w:t>Among 370 respondents, median knowledge and practice scores were 69.6%</w:t>
            </w:r>
            <w:r w:rsidR="00814824">
              <w:rPr>
                <w:sz w:val="24"/>
                <w:szCs w:val="24"/>
              </w:rPr>
              <w:t xml:space="preserve"> (IQR=60.9%-73.9%)</w:t>
            </w:r>
            <w:r w:rsidR="00B617E6" w:rsidRPr="00B617E6">
              <w:rPr>
                <w:sz w:val="24"/>
                <w:szCs w:val="24"/>
              </w:rPr>
              <w:t xml:space="preserve"> and 70.0%</w:t>
            </w:r>
            <w:r w:rsidR="00814824">
              <w:rPr>
                <w:sz w:val="24"/>
                <w:szCs w:val="24"/>
              </w:rPr>
              <w:t xml:space="preserve"> (IQR=60%-80%)</w:t>
            </w:r>
            <w:r w:rsidR="00B617E6" w:rsidRPr="00B617E6">
              <w:rPr>
                <w:sz w:val="24"/>
                <w:szCs w:val="24"/>
              </w:rPr>
              <w:t>, respectively</w:t>
            </w:r>
            <w:r w:rsidR="003D1D25" w:rsidRPr="003D1D25">
              <w:rPr>
                <w:sz w:val="24"/>
                <w:szCs w:val="24"/>
              </w:rPr>
              <w:t xml:space="preserve">. </w:t>
            </w:r>
            <w:r w:rsidR="00B617E6">
              <w:rPr>
                <w:sz w:val="24"/>
                <w:szCs w:val="24"/>
              </w:rPr>
              <w:t xml:space="preserve">High comprehension was observed for </w:t>
            </w:r>
            <w:r w:rsidR="003D1D25" w:rsidRPr="003D1D25">
              <w:rPr>
                <w:sz w:val="24"/>
                <w:szCs w:val="24"/>
              </w:rPr>
              <w:t xml:space="preserve">triage process (97.3%), initial critical first look (95.7%), rapid assessment techniques (94.1%), and the Paediatric Assessment Triangle (85.4%). Notably, 42% of the respondents were cognizant of the timing for contacting an ED </w:t>
            </w:r>
            <w:r w:rsidR="00707CE6">
              <w:rPr>
                <w:sz w:val="24"/>
                <w:szCs w:val="24"/>
              </w:rPr>
              <w:t>doctor</w:t>
            </w:r>
            <w:r w:rsidR="003D1D25" w:rsidRPr="003D1D25">
              <w:rPr>
                <w:sz w:val="24"/>
                <w:szCs w:val="24"/>
              </w:rPr>
              <w:t xml:space="preserve">, while 61% recognized the symptom modifier list. </w:t>
            </w:r>
            <w:r w:rsidR="00707CE6">
              <w:rPr>
                <w:sz w:val="24"/>
                <w:szCs w:val="24"/>
              </w:rPr>
              <w:t xml:space="preserve">Majority </w:t>
            </w:r>
            <w:r w:rsidR="003D1D25" w:rsidRPr="003D1D25">
              <w:rPr>
                <w:sz w:val="24"/>
                <w:szCs w:val="24"/>
              </w:rPr>
              <w:t>exhibited sufficient knowledge regarding airborne infection control (94.9%), decontamination procedures for chemical exposure (78.4%), and de-escalation strategies for managing aggressive patients (92.7%).</w:t>
            </w:r>
            <w:r w:rsidR="00B617E6">
              <w:rPr>
                <w:sz w:val="24"/>
                <w:szCs w:val="24"/>
              </w:rPr>
              <w:t xml:space="preserve"> </w:t>
            </w:r>
            <w:r w:rsidR="00B617E6" w:rsidRPr="00B617E6">
              <w:rPr>
                <w:sz w:val="24"/>
                <w:szCs w:val="24"/>
              </w:rPr>
              <w:t xml:space="preserve">While 78% were motivated to implement the MTS 2022 and 54.6% felt competent, </w:t>
            </w:r>
            <w:r w:rsidR="00814824">
              <w:rPr>
                <w:sz w:val="24"/>
                <w:szCs w:val="24"/>
              </w:rPr>
              <w:t>knowledge</w:t>
            </w:r>
            <w:r w:rsidR="00B617E6" w:rsidRPr="00B617E6">
              <w:rPr>
                <w:sz w:val="24"/>
                <w:szCs w:val="24"/>
              </w:rPr>
              <w:t xml:space="preserve"> gaps emerged in identifying semi-critical and non-urgent cases.</w:t>
            </w:r>
            <w:r w:rsidR="003D1D25" w:rsidRPr="003D1D25">
              <w:rPr>
                <w:sz w:val="24"/>
                <w:szCs w:val="24"/>
              </w:rPr>
              <w:t xml:space="preserve"> </w:t>
            </w:r>
            <w:r w:rsidR="00B617E6" w:rsidRPr="00B617E6">
              <w:rPr>
                <w:sz w:val="24"/>
                <w:szCs w:val="24"/>
              </w:rPr>
              <w:t>Median knowledge scores differed significantly by designation (</w:t>
            </w:r>
            <w:r w:rsidR="00B617E6" w:rsidRPr="00814824">
              <w:rPr>
                <w:i/>
                <w:iCs/>
                <w:sz w:val="24"/>
                <w:szCs w:val="24"/>
              </w:rPr>
              <w:t>p</w:t>
            </w:r>
            <w:r w:rsidR="00B617E6" w:rsidRPr="00B617E6">
              <w:rPr>
                <w:sz w:val="24"/>
                <w:szCs w:val="24"/>
              </w:rPr>
              <w:t>=0.001) and education (</w:t>
            </w:r>
            <w:r w:rsidR="00B617E6" w:rsidRPr="00814824">
              <w:rPr>
                <w:i/>
                <w:iCs/>
                <w:sz w:val="24"/>
                <w:szCs w:val="24"/>
              </w:rPr>
              <w:t>p</w:t>
            </w:r>
            <w:r w:rsidR="00B617E6" w:rsidRPr="00B617E6">
              <w:rPr>
                <w:sz w:val="24"/>
                <w:szCs w:val="24"/>
              </w:rPr>
              <w:t>= 0.001). Positive correlations were found between knowledge and attitude (</w:t>
            </w:r>
            <w:proofErr w:type="spellStart"/>
            <w:r w:rsidR="00B617E6" w:rsidRPr="00B617E6">
              <w:rPr>
                <w:sz w:val="24"/>
                <w:szCs w:val="24"/>
              </w:rPr>
              <w:t>r</w:t>
            </w:r>
            <w:r w:rsidR="00B617E6" w:rsidRPr="00814824">
              <w:rPr>
                <w:sz w:val="24"/>
                <w:szCs w:val="24"/>
                <w:vertAlign w:val="subscript"/>
              </w:rPr>
              <w:t>s</w:t>
            </w:r>
            <w:proofErr w:type="spellEnd"/>
            <w:r w:rsidR="00B617E6" w:rsidRPr="00B617E6">
              <w:rPr>
                <w:sz w:val="24"/>
                <w:szCs w:val="24"/>
              </w:rPr>
              <w:t xml:space="preserve">=0.165, </w:t>
            </w:r>
            <w:r w:rsidR="00B617E6" w:rsidRPr="00814824">
              <w:rPr>
                <w:i/>
                <w:iCs/>
                <w:sz w:val="24"/>
                <w:szCs w:val="24"/>
              </w:rPr>
              <w:t>p</w:t>
            </w:r>
            <w:r w:rsidR="00B617E6" w:rsidRPr="00B617E6">
              <w:rPr>
                <w:sz w:val="24"/>
                <w:szCs w:val="24"/>
              </w:rPr>
              <w:t>= 0.001) and knowledge and practice (</w:t>
            </w:r>
            <w:proofErr w:type="spellStart"/>
            <w:r w:rsidR="00B617E6" w:rsidRPr="00B617E6">
              <w:rPr>
                <w:sz w:val="24"/>
                <w:szCs w:val="24"/>
              </w:rPr>
              <w:t>r</w:t>
            </w:r>
            <w:r w:rsidR="00B617E6" w:rsidRPr="00814824">
              <w:rPr>
                <w:sz w:val="24"/>
                <w:szCs w:val="24"/>
                <w:vertAlign w:val="subscript"/>
              </w:rPr>
              <w:t>s</w:t>
            </w:r>
            <w:proofErr w:type="spellEnd"/>
            <w:r w:rsidR="00B617E6" w:rsidRPr="00B617E6">
              <w:rPr>
                <w:sz w:val="24"/>
                <w:szCs w:val="24"/>
              </w:rPr>
              <w:t xml:space="preserve">=0.319, </w:t>
            </w:r>
            <w:r w:rsidR="00B617E6" w:rsidRPr="00814824">
              <w:rPr>
                <w:i/>
                <w:iCs/>
                <w:sz w:val="24"/>
                <w:szCs w:val="24"/>
              </w:rPr>
              <w:t>p</w:t>
            </w:r>
            <w:r w:rsidR="00B617E6" w:rsidRPr="00B617E6">
              <w:rPr>
                <w:sz w:val="24"/>
                <w:szCs w:val="24"/>
              </w:rPr>
              <w:t>=0.001).</w:t>
            </w:r>
          </w:p>
          <w:p w14:paraId="07CAB727" w14:textId="43780D0D" w:rsidR="00922518" w:rsidRDefault="003A2BB9">
            <w:pPr>
              <w:widowControl w:val="0"/>
              <w:pBdr>
                <w:top w:val="nil"/>
                <w:left w:val="nil"/>
                <w:bottom w:val="nil"/>
                <w:right w:val="nil"/>
                <w:between w:val="nil"/>
              </w:pBdr>
              <w:spacing w:before="206" w:line="240" w:lineRule="auto"/>
              <w:ind w:left="495"/>
              <w:rPr>
                <w:color w:val="000000"/>
                <w:sz w:val="24"/>
                <w:szCs w:val="24"/>
              </w:rPr>
            </w:pPr>
            <w:r>
              <w:rPr>
                <w:color w:val="000000"/>
                <w:sz w:val="24"/>
                <w:szCs w:val="24"/>
              </w:rPr>
              <w:t xml:space="preserve">● </w:t>
            </w:r>
            <w:r>
              <w:rPr>
                <w:b/>
                <w:bCs/>
                <w:color w:val="000000"/>
                <w:sz w:val="24"/>
                <w:szCs w:val="24"/>
              </w:rPr>
              <w:t xml:space="preserve">Conclusion </w:t>
            </w:r>
            <w:r>
              <w:rPr>
                <w:color w:val="000000"/>
                <w:sz w:val="24"/>
                <w:szCs w:val="24"/>
              </w:rPr>
              <w:t xml:space="preserve">– </w:t>
            </w:r>
            <w:r w:rsidR="003D1D25" w:rsidRPr="003D1D25">
              <w:rPr>
                <w:color w:val="000000"/>
                <w:sz w:val="24"/>
                <w:szCs w:val="24"/>
              </w:rPr>
              <w:t xml:space="preserve">Emergency HCWs </w:t>
            </w:r>
            <w:r w:rsidR="00BE3F4C">
              <w:rPr>
                <w:color w:val="000000"/>
                <w:sz w:val="24"/>
                <w:szCs w:val="24"/>
              </w:rPr>
              <w:t>exhibit</w:t>
            </w:r>
            <w:r w:rsidR="003D1D25" w:rsidRPr="003D1D25">
              <w:rPr>
                <w:color w:val="000000"/>
                <w:sz w:val="24"/>
                <w:szCs w:val="24"/>
              </w:rPr>
              <w:t xml:space="preserve"> sufficient knowledge and</w:t>
            </w:r>
            <w:r w:rsidR="00814824">
              <w:rPr>
                <w:color w:val="000000"/>
                <w:sz w:val="24"/>
                <w:szCs w:val="24"/>
              </w:rPr>
              <w:t xml:space="preserve"> practice </w:t>
            </w:r>
            <w:r w:rsidR="00BE3F4C">
              <w:rPr>
                <w:color w:val="000000"/>
                <w:sz w:val="24"/>
                <w:szCs w:val="24"/>
              </w:rPr>
              <w:t>levels</w:t>
            </w:r>
            <w:r w:rsidR="00814824">
              <w:rPr>
                <w:color w:val="000000"/>
                <w:sz w:val="24"/>
                <w:szCs w:val="24"/>
              </w:rPr>
              <w:t>, alongside overall favourable attitudes toward the MTS 2022 protocol</w:t>
            </w:r>
            <w:r w:rsidR="003D1D25" w:rsidRPr="003D1D25">
              <w:rPr>
                <w:color w:val="000000"/>
                <w:sz w:val="24"/>
                <w:szCs w:val="24"/>
              </w:rPr>
              <w:t xml:space="preserve">. </w:t>
            </w:r>
            <w:r w:rsidR="00BE3F4C">
              <w:rPr>
                <w:color w:val="000000"/>
                <w:sz w:val="24"/>
                <w:szCs w:val="24"/>
              </w:rPr>
              <w:t>While motivation is high,</w:t>
            </w:r>
            <w:r w:rsidR="00814824">
              <w:rPr>
                <w:color w:val="000000"/>
                <w:sz w:val="24"/>
                <w:szCs w:val="24"/>
              </w:rPr>
              <w:t xml:space="preserve"> critical gaps </w:t>
            </w:r>
            <w:r w:rsidR="00BE3F4C">
              <w:rPr>
                <w:color w:val="000000"/>
                <w:sz w:val="24"/>
                <w:szCs w:val="24"/>
              </w:rPr>
              <w:t>remain</w:t>
            </w:r>
            <w:r w:rsidR="00814824">
              <w:rPr>
                <w:color w:val="000000"/>
                <w:sz w:val="24"/>
                <w:szCs w:val="24"/>
              </w:rPr>
              <w:t xml:space="preserve"> in classification proficiency for low-acuity cases and individual competence confidence. </w:t>
            </w:r>
            <w:r w:rsidR="00BE3F4C">
              <w:rPr>
                <w:color w:val="000000"/>
                <w:sz w:val="24"/>
                <w:szCs w:val="24"/>
              </w:rPr>
              <w:t>Targeted educational interventions are recommended, particularly tailored to different ED staff designations and educational backgrounds, to bridge knowledge gaps and ensure successful nationwide triage standardization.</w:t>
            </w:r>
          </w:p>
          <w:p w14:paraId="71B698D7" w14:textId="77777777" w:rsidR="00922518" w:rsidRDefault="003A2BB9" w:rsidP="00B50954">
            <w:pPr>
              <w:widowControl w:val="0"/>
              <w:pBdr>
                <w:top w:val="nil"/>
                <w:left w:val="nil"/>
                <w:bottom w:val="nil"/>
                <w:right w:val="nil"/>
                <w:between w:val="nil"/>
              </w:pBdr>
              <w:spacing w:before="195" w:line="240" w:lineRule="auto"/>
              <w:ind w:left="495"/>
              <w:rPr>
                <w:color w:val="000000"/>
                <w:sz w:val="24"/>
                <w:szCs w:val="24"/>
              </w:rPr>
            </w:pPr>
            <w:r>
              <w:rPr>
                <w:color w:val="000000"/>
                <w:sz w:val="24"/>
                <w:szCs w:val="24"/>
              </w:rPr>
              <w:lastRenderedPageBreak/>
              <w:t xml:space="preserve">● </w:t>
            </w:r>
            <w:r>
              <w:rPr>
                <w:b/>
                <w:bCs/>
                <w:color w:val="000000"/>
                <w:sz w:val="24"/>
                <w:szCs w:val="24"/>
              </w:rPr>
              <w:t>Keywords</w:t>
            </w:r>
            <w:r w:rsidR="003D1D25">
              <w:rPr>
                <w:b/>
                <w:bCs/>
                <w:color w:val="000000"/>
                <w:sz w:val="24"/>
                <w:szCs w:val="24"/>
              </w:rPr>
              <w:t xml:space="preserve">: </w:t>
            </w:r>
            <w:r w:rsidR="003D1D25" w:rsidRPr="003D1D25">
              <w:rPr>
                <w:color w:val="000000"/>
                <w:sz w:val="24"/>
                <w:szCs w:val="24"/>
              </w:rPr>
              <w:t>triage; triage acuity; five-level triage; knowledge attitude practice; healthcare providers; emergency department</w:t>
            </w:r>
          </w:p>
          <w:p w14:paraId="3A95CED2" w14:textId="5C856E54" w:rsidR="003D1D25" w:rsidRPr="003D1D25" w:rsidRDefault="003D1D25" w:rsidP="003D1D25">
            <w:pPr>
              <w:pStyle w:val="ListParagraph"/>
              <w:widowControl w:val="0"/>
              <w:numPr>
                <w:ilvl w:val="0"/>
                <w:numId w:val="2"/>
              </w:numPr>
              <w:pBdr>
                <w:top w:val="nil"/>
                <w:left w:val="nil"/>
                <w:bottom w:val="nil"/>
                <w:right w:val="nil"/>
                <w:between w:val="nil"/>
              </w:pBdr>
              <w:spacing w:before="195" w:line="240" w:lineRule="auto"/>
              <w:ind w:left="459" w:firstLine="0"/>
              <w:rPr>
                <w:b/>
                <w:bCs/>
                <w:color w:val="000000"/>
                <w:sz w:val="24"/>
                <w:szCs w:val="24"/>
              </w:rPr>
            </w:pPr>
            <w:r w:rsidRPr="003D1D25">
              <w:rPr>
                <w:b/>
                <w:bCs/>
                <w:color w:val="000000"/>
                <w:sz w:val="24"/>
                <w:szCs w:val="24"/>
              </w:rPr>
              <w:t>NMRR ID:</w:t>
            </w:r>
            <w:r>
              <w:rPr>
                <w:b/>
                <w:bCs/>
                <w:color w:val="000000"/>
                <w:sz w:val="24"/>
                <w:szCs w:val="24"/>
              </w:rPr>
              <w:t xml:space="preserve"> NMRR ID-23-03110-UPE</w:t>
            </w:r>
          </w:p>
        </w:tc>
      </w:tr>
    </w:tbl>
    <w:p w14:paraId="5A53FCEA" w14:textId="77777777" w:rsidR="00922518" w:rsidRDefault="00922518">
      <w:pPr>
        <w:widowControl w:val="0"/>
        <w:pBdr>
          <w:top w:val="nil"/>
          <w:left w:val="nil"/>
          <w:bottom w:val="nil"/>
          <w:right w:val="nil"/>
          <w:between w:val="nil"/>
        </w:pBdr>
        <w:rPr>
          <w:color w:val="000000"/>
        </w:rPr>
      </w:pPr>
    </w:p>
    <w:p w14:paraId="631A9351" w14:textId="77777777" w:rsidR="00922518" w:rsidRDefault="00922518">
      <w:pPr>
        <w:widowControl w:val="0"/>
        <w:pBdr>
          <w:top w:val="nil"/>
          <w:left w:val="nil"/>
          <w:bottom w:val="nil"/>
          <w:right w:val="nil"/>
          <w:between w:val="nil"/>
        </w:pBdr>
        <w:rPr>
          <w:color w:val="000000"/>
        </w:rPr>
      </w:pPr>
    </w:p>
    <w:p w14:paraId="4D7DBBA9" w14:textId="77777777" w:rsidR="00922518" w:rsidRDefault="00922518">
      <w:pPr>
        <w:widowControl w:val="0"/>
        <w:pBdr>
          <w:top w:val="nil"/>
          <w:left w:val="nil"/>
          <w:bottom w:val="nil"/>
          <w:right w:val="nil"/>
          <w:between w:val="nil"/>
        </w:pBdr>
        <w:rPr>
          <w:color w:val="000000"/>
        </w:rPr>
      </w:pPr>
    </w:p>
    <w:sectPr w:rsidR="00922518">
      <w:pgSz w:w="11920" w:h="16840"/>
      <w:pgMar w:top="1040" w:right="1490" w:bottom="2349" w:left="1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DBAFE98-1DC3-44CE-9C62-5A382C7DBAEF}"/>
  </w:font>
  <w:font w:name="Calibri">
    <w:panose1 w:val="020F0502020204030204"/>
    <w:charset w:val="00"/>
    <w:family w:val="swiss"/>
    <w:pitch w:val="variable"/>
    <w:sig w:usb0="E4002EFF" w:usb1="C200247B" w:usb2="00000009" w:usb3="00000000" w:csb0="000001FF" w:csb1="00000000"/>
    <w:embedRegular r:id="rId2" w:fontKey="{62789401-1888-4993-9A3F-909C6025E3E9}"/>
  </w:font>
  <w:font w:name="Cambria">
    <w:panose1 w:val="02040503050406030204"/>
    <w:charset w:val="00"/>
    <w:family w:val="roman"/>
    <w:pitch w:val="variable"/>
    <w:sig w:usb0="E00006FF" w:usb1="420024FF" w:usb2="02000000" w:usb3="00000000" w:csb0="0000019F" w:csb1="00000000"/>
    <w:embedRegular r:id="rId3" w:fontKey="{E1F967E9-6D72-4736-BED4-124915ADC6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56DFA"/>
    <w:multiLevelType w:val="hybridMultilevel"/>
    <w:tmpl w:val="BB3EBC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5BA05469"/>
    <w:multiLevelType w:val="hybridMultilevel"/>
    <w:tmpl w:val="207CA586"/>
    <w:lvl w:ilvl="0" w:tplc="44090001">
      <w:start w:val="1"/>
      <w:numFmt w:val="bullet"/>
      <w:lvlText w:val=""/>
      <w:lvlJc w:val="left"/>
      <w:pPr>
        <w:ind w:left="1215" w:hanging="360"/>
      </w:pPr>
      <w:rPr>
        <w:rFonts w:ascii="Symbol" w:hAnsi="Symbol" w:hint="default"/>
      </w:rPr>
    </w:lvl>
    <w:lvl w:ilvl="1" w:tplc="44090003" w:tentative="1">
      <w:start w:val="1"/>
      <w:numFmt w:val="bullet"/>
      <w:lvlText w:val="o"/>
      <w:lvlJc w:val="left"/>
      <w:pPr>
        <w:ind w:left="1935" w:hanging="360"/>
      </w:pPr>
      <w:rPr>
        <w:rFonts w:ascii="Courier New" w:hAnsi="Courier New" w:cs="Courier New" w:hint="default"/>
      </w:rPr>
    </w:lvl>
    <w:lvl w:ilvl="2" w:tplc="44090005" w:tentative="1">
      <w:start w:val="1"/>
      <w:numFmt w:val="bullet"/>
      <w:lvlText w:val=""/>
      <w:lvlJc w:val="left"/>
      <w:pPr>
        <w:ind w:left="2655" w:hanging="360"/>
      </w:pPr>
      <w:rPr>
        <w:rFonts w:ascii="Wingdings" w:hAnsi="Wingdings" w:hint="default"/>
      </w:rPr>
    </w:lvl>
    <w:lvl w:ilvl="3" w:tplc="44090001" w:tentative="1">
      <w:start w:val="1"/>
      <w:numFmt w:val="bullet"/>
      <w:lvlText w:val=""/>
      <w:lvlJc w:val="left"/>
      <w:pPr>
        <w:ind w:left="3375" w:hanging="360"/>
      </w:pPr>
      <w:rPr>
        <w:rFonts w:ascii="Symbol" w:hAnsi="Symbol" w:hint="default"/>
      </w:rPr>
    </w:lvl>
    <w:lvl w:ilvl="4" w:tplc="44090003" w:tentative="1">
      <w:start w:val="1"/>
      <w:numFmt w:val="bullet"/>
      <w:lvlText w:val="o"/>
      <w:lvlJc w:val="left"/>
      <w:pPr>
        <w:ind w:left="4095" w:hanging="360"/>
      </w:pPr>
      <w:rPr>
        <w:rFonts w:ascii="Courier New" w:hAnsi="Courier New" w:cs="Courier New" w:hint="default"/>
      </w:rPr>
    </w:lvl>
    <w:lvl w:ilvl="5" w:tplc="44090005" w:tentative="1">
      <w:start w:val="1"/>
      <w:numFmt w:val="bullet"/>
      <w:lvlText w:val=""/>
      <w:lvlJc w:val="left"/>
      <w:pPr>
        <w:ind w:left="4815" w:hanging="360"/>
      </w:pPr>
      <w:rPr>
        <w:rFonts w:ascii="Wingdings" w:hAnsi="Wingdings" w:hint="default"/>
      </w:rPr>
    </w:lvl>
    <w:lvl w:ilvl="6" w:tplc="44090001" w:tentative="1">
      <w:start w:val="1"/>
      <w:numFmt w:val="bullet"/>
      <w:lvlText w:val=""/>
      <w:lvlJc w:val="left"/>
      <w:pPr>
        <w:ind w:left="5535" w:hanging="360"/>
      </w:pPr>
      <w:rPr>
        <w:rFonts w:ascii="Symbol" w:hAnsi="Symbol" w:hint="default"/>
      </w:rPr>
    </w:lvl>
    <w:lvl w:ilvl="7" w:tplc="44090003" w:tentative="1">
      <w:start w:val="1"/>
      <w:numFmt w:val="bullet"/>
      <w:lvlText w:val="o"/>
      <w:lvlJc w:val="left"/>
      <w:pPr>
        <w:ind w:left="6255" w:hanging="360"/>
      </w:pPr>
      <w:rPr>
        <w:rFonts w:ascii="Courier New" w:hAnsi="Courier New" w:cs="Courier New" w:hint="default"/>
      </w:rPr>
    </w:lvl>
    <w:lvl w:ilvl="8" w:tplc="44090005" w:tentative="1">
      <w:start w:val="1"/>
      <w:numFmt w:val="bullet"/>
      <w:lvlText w:val=""/>
      <w:lvlJc w:val="left"/>
      <w:pPr>
        <w:ind w:left="6975" w:hanging="360"/>
      </w:pPr>
      <w:rPr>
        <w:rFonts w:ascii="Wingdings" w:hAnsi="Wingdings" w:hint="default"/>
      </w:rPr>
    </w:lvl>
  </w:abstractNum>
  <w:num w:numId="1" w16cid:durableId="1166944433">
    <w:abstractNumId w:val="1"/>
  </w:num>
  <w:num w:numId="2" w16cid:durableId="950697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518"/>
    <w:rsid w:val="00137BDF"/>
    <w:rsid w:val="003A2BB9"/>
    <w:rsid w:val="003D1D25"/>
    <w:rsid w:val="00411B84"/>
    <w:rsid w:val="00690A7C"/>
    <w:rsid w:val="00707CE6"/>
    <w:rsid w:val="00814824"/>
    <w:rsid w:val="00875594"/>
    <w:rsid w:val="00922518"/>
    <w:rsid w:val="00B50954"/>
    <w:rsid w:val="00B617E6"/>
    <w:rsid w:val="00B61FEB"/>
    <w:rsid w:val="00BE3F4C"/>
    <w:rsid w:val="00D41B7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C7A2"/>
  <w15:docId w15:val="{0A77076B-CBD4-46EF-AF48-1F1729D8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3D1D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Khidir Mohd Kamil</dc:creator>
  <cp:lastModifiedBy>Muhammad Khidir Mohd Kamil</cp:lastModifiedBy>
  <cp:revision>2</cp:revision>
  <dcterms:created xsi:type="dcterms:W3CDTF">2026-05-27T13:24:00Z</dcterms:created>
  <dcterms:modified xsi:type="dcterms:W3CDTF">2026-05-27T13:24:00Z</dcterms:modified>
</cp:coreProperties>
</file>