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2953"/>
        <w:gridCol w:w="5553"/>
      </w:tblGrid>
      <w:tr w:rsidR="000556E4" w14:paraId="2B652A9D" w14:textId="77777777">
        <w:trPr>
          <w:trHeight w:val="1063"/>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19268A" w14:textId="77777777" w:rsidR="000556E4" w:rsidRDefault="002F6A4A">
            <w:pPr>
              <w:pStyle w:val="NormalWeb"/>
              <w:spacing w:beforeAutospacing="0" w:afterAutospacing="0" w:line="21" w:lineRule="atLeast"/>
              <w:ind w:left="320"/>
            </w:pPr>
            <w:r>
              <w:rPr>
                <w:rFonts w:ascii="Arial" w:hAnsi="Arial" w:cs="Arial"/>
                <w:b/>
                <w:bCs/>
                <w:color w:val="000000"/>
                <w:sz w:val="20"/>
                <w:szCs w:val="20"/>
              </w:rPr>
              <w:t>Abstract Title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01EB9C7" w14:textId="77777777" w:rsidR="000556E4" w:rsidRDefault="002F6A4A">
            <w:pPr>
              <w:pStyle w:val="NormalWeb"/>
              <w:spacing w:beforeAutospacing="0" w:afterAutospacing="0" w:line="21" w:lineRule="atLeast"/>
            </w:pPr>
            <w:r>
              <w:rPr>
                <w:rFonts w:ascii="Arial" w:hAnsi="Arial" w:cs="Arial"/>
                <w:color w:val="000000"/>
                <w:sz w:val="20"/>
                <w:szCs w:val="20"/>
              </w:rPr>
              <w:t>Metastatic Endometrial Cancer Presenting as Suspected Primary Lung Cancer: A Case Study</w:t>
            </w:r>
          </w:p>
          <w:p w14:paraId="0F96AE79" w14:textId="77777777" w:rsidR="000556E4" w:rsidRDefault="002F6A4A">
            <w:pPr>
              <w:pStyle w:val="NormalWeb"/>
              <w:spacing w:before="240" w:beforeAutospacing="0" w:after="240" w:afterAutospacing="0" w:line="21" w:lineRule="atLeast"/>
            </w:pPr>
            <w:r>
              <w:rPr>
                <w:rFonts w:ascii="Arial" w:hAnsi="Arial" w:cs="Arial"/>
                <w:color w:val="000000"/>
                <w:sz w:val="20"/>
                <w:szCs w:val="20"/>
              </w:rPr>
              <w:t> </w:t>
            </w:r>
          </w:p>
        </w:tc>
      </w:tr>
      <w:tr w:rsidR="000556E4" w14:paraId="38708C68" w14:textId="77777777">
        <w:trPr>
          <w:trHeight w:val="13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12390A" w14:textId="77777777" w:rsidR="000556E4" w:rsidRDefault="002F6A4A">
            <w:pPr>
              <w:pStyle w:val="NormalWeb"/>
              <w:spacing w:beforeAutospacing="0" w:afterAutospacing="0" w:line="21" w:lineRule="atLeast"/>
              <w:ind w:right="140"/>
              <w:jc w:val="right"/>
            </w:pPr>
            <w:r>
              <w:rPr>
                <w:rFonts w:ascii="Arial" w:hAnsi="Arial" w:cs="Arial"/>
                <w:b/>
                <w:bCs/>
                <w:color w:val="000000"/>
                <w:sz w:val="20"/>
                <w:szCs w:val="20"/>
              </w:rPr>
              <w:t>Presenting author &amp; co-authors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73BAE9" w14:textId="77777777" w:rsidR="000556E4" w:rsidRDefault="002F6A4A">
            <w:pPr>
              <w:pStyle w:val="NormalWeb"/>
              <w:spacing w:before="240" w:beforeAutospacing="0" w:after="240" w:afterAutospacing="0" w:line="21" w:lineRule="atLeast"/>
            </w:pPr>
            <w:r>
              <w:rPr>
                <w:rFonts w:ascii="Arial" w:hAnsi="Arial" w:cs="Arial"/>
                <w:i/>
                <w:iCs/>
                <w:color w:val="212529"/>
                <w:sz w:val="20"/>
                <w:szCs w:val="20"/>
                <w:u w:val="single"/>
              </w:rPr>
              <w:t>Nur Alyza Haji Yusuf</w:t>
            </w:r>
            <w:r>
              <w:rPr>
                <w:rFonts w:ascii="Arial" w:hAnsi="Arial" w:cs="Arial"/>
                <w:i/>
                <w:iCs/>
                <w:color w:val="212529"/>
                <w:sz w:val="20"/>
                <w:szCs w:val="20"/>
              </w:rPr>
              <w:t xml:space="preserve"> </w:t>
            </w:r>
            <w:proofErr w:type="gramStart"/>
            <w:r>
              <w:rPr>
                <w:rFonts w:ascii="Arial" w:hAnsi="Arial" w:cs="Arial"/>
                <w:i/>
                <w:iCs/>
                <w:color w:val="000000"/>
                <w:sz w:val="12"/>
                <w:szCs w:val="12"/>
                <w:vertAlign w:val="superscript"/>
              </w:rPr>
              <w:t>1</w:t>
            </w:r>
            <w:r>
              <w:rPr>
                <w:rFonts w:ascii="Arial" w:hAnsi="Arial" w:cs="Arial"/>
                <w:i/>
                <w:iCs/>
                <w:color w:val="212529"/>
                <w:sz w:val="20"/>
                <w:szCs w:val="20"/>
              </w:rPr>
              <w:t>,</w:t>
            </w:r>
            <w:r>
              <w:rPr>
                <w:rFonts w:ascii="Arial" w:hAnsi="Arial" w:cs="Arial"/>
                <w:i/>
                <w:iCs/>
                <w:color w:val="000000"/>
                <w:sz w:val="20"/>
                <w:szCs w:val="20"/>
              </w:rPr>
              <w:t>Nurhanisah</w:t>
            </w:r>
            <w:proofErr w:type="gramEnd"/>
            <w:r>
              <w:rPr>
                <w:rFonts w:ascii="Arial" w:hAnsi="Arial" w:cs="Arial"/>
                <w:i/>
                <w:iCs/>
                <w:color w:val="212529"/>
                <w:sz w:val="20"/>
                <w:szCs w:val="20"/>
              </w:rPr>
              <w:t xml:space="preserve"> </w:t>
            </w:r>
            <w:r>
              <w:rPr>
                <w:rFonts w:ascii="Arial" w:hAnsi="Arial" w:cs="Arial"/>
                <w:i/>
                <w:iCs/>
                <w:color w:val="000000"/>
                <w:sz w:val="12"/>
                <w:szCs w:val="12"/>
                <w:vertAlign w:val="superscript"/>
              </w:rPr>
              <w:t>1</w:t>
            </w:r>
          </w:p>
          <w:p w14:paraId="053D7FEE" w14:textId="77777777" w:rsidR="000556E4" w:rsidRDefault="002F6A4A">
            <w:pPr>
              <w:pStyle w:val="NormalWeb"/>
              <w:spacing w:beforeAutospacing="0" w:afterAutospacing="0" w:line="21" w:lineRule="atLeast"/>
              <w:ind w:left="340" w:right="500" w:firstLine="20"/>
            </w:pPr>
            <w:r>
              <w:rPr>
                <w:rFonts w:ascii="Arial" w:hAnsi="Arial" w:cs="Arial"/>
                <w:color w:val="000000"/>
                <w:sz w:val="20"/>
                <w:szCs w:val="20"/>
              </w:rPr>
              <w:t> </w:t>
            </w:r>
          </w:p>
        </w:tc>
      </w:tr>
      <w:tr w:rsidR="000556E4" w14:paraId="088318E0" w14:textId="77777777">
        <w:trPr>
          <w:trHeight w:val="1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CD8C5E" w14:textId="77777777" w:rsidR="000556E4" w:rsidRDefault="002F6A4A">
            <w:pPr>
              <w:pStyle w:val="NormalWeb"/>
              <w:spacing w:beforeAutospacing="0" w:afterAutospacing="0" w:line="21" w:lineRule="atLeast"/>
              <w:ind w:left="320"/>
            </w:pPr>
            <w:r>
              <w:rPr>
                <w:rFonts w:ascii="Arial" w:hAnsi="Arial" w:cs="Arial"/>
                <w:b/>
                <w:bCs/>
                <w:color w:val="000000"/>
                <w:sz w:val="20"/>
                <w:szCs w:val="20"/>
              </w:rPr>
              <w:t>Affiliation of all authors</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D5E9CC" w14:textId="77777777" w:rsidR="000556E4" w:rsidRDefault="002F6A4A">
            <w:pPr>
              <w:pStyle w:val="NormalWeb"/>
              <w:spacing w:before="240" w:beforeAutospacing="0" w:after="240" w:afterAutospacing="0" w:line="21" w:lineRule="atLeast"/>
            </w:pPr>
            <w:r>
              <w:rPr>
                <w:rFonts w:ascii="Arial" w:hAnsi="Arial" w:cs="Arial"/>
                <w:i/>
                <w:iCs/>
                <w:color w:val="212529"/>
                <w:sz w:val="20"/>
                <w:szCs w:val="20"/>
                <w:u w:val="single"/>
              </w:rPr>
              <w:t>Nur Alyza Haji Yusuf</w:t>
            </w:r>
            <w:r>
              <w:rPr>
                <w:rFonts w:ascii="Arial" w:hAnsi="Arial" w:cs="Arial"/>
                <w:i/>
                <w:iCs/>
                <w:color w:val="212529"/>
                <w:sz w:val="20"/>
                <w:szCs w:val="20"/>
              </w:rPr>
              <w:t xml:space="preserve"> </w:t>
            </w:r>
            <w:proofErr w:type="gramStart"/>
            <w:r>
              <w:rPr>
                <w:rFonts w:ascii="Arial" w:hAnsi="Arial" w:cs="Arial"/>
                <w:i/>
                <w:iCs/>
                <w:color w:val="000000"/>
                <w:sz w:val="12"/>
                <w:szCs w:val="12"/>
                <w:vertAlign w:val="superscript"/>
              </w:rPr>
              <w:t>1</w:t>
            </w:r>
            <w:r>
              <w:rPr>
                <w:rFonts w:ascii="Arial" w:hAnsi="Arial" w:cs="Arial"/>
                <w:i/>
                <w:iCs/>
                <w:color w:val="212529"/>
                <w:sz w:val="20"/>
                <w:szCs w:val="20"/>
              </w:rPr>
              <w:t>,</w:t>
            </w:r>
            <w:r>
              <w:rPr>
                <w:rFonts w:ascii="Arial" w:hAnsi="Arial" w:cs="Arial"/>
                <w:i/>
                <w:iCs/>
                <w:color w:val="000000"/>
                <w:sz w:val="20"/>
                <w:szCs w:val="20"/>
              </w:rPr>
              <w:t>Nurhanisah</w:t>
            </w:r>
            <w:proofErr w:type="gramEnd"/>
            <w:r>
              <w:rPr>
                <w:rFonts w:ascii="Arial" w:hAnsi="Arial" w:cs="Arial"/>
                <w:i/>
                <w:iCs/>
                <w:color w:val="212529"/>
                <w:sz w:val="20"/>
                <w:szCs w:val="20"/>
              </w:rPr>
              <w:t xml:space="preserve"> </w:t>
            </w:r>
            <w:r>
              <w:rPr>
                <w:rFonts w:ascii="Arial" w:hAnsi="Arial" w:cs="Arial"/>
                <w:i/>
                <w:iCs/>
                <w:color w:val="000000"/>
                <w:sz w:val="12"/>
                <w:szCs w:val="12"/>
                <w:vertAlign w:val="superscript"/>
              </w:rPr>
              <w:t>1</w:t>
            </w:r>
          </w:p>
          <w:p w14:paraId="523BFA12" w14:textId="77777777" w:rsidR="000556E4" w:rsidRDefault="002F6A4A">
            <w:pPr>
              <w:pStyle w:val="NormalWeb"/>
              <w:spacing w:before="240" w:beforeAutospacing="0" w:afterAutospacing="0" w:line="21" w:lineRule="atLeast"/>
            </w:pPr>
            <w:r>
              <w:rPr>
                <w:rFonts w:ascii="Arial" w:hAnsi="Arial" w:cs="Arial"/>
                <w:color w:val="000000"/>
                <w:sz w:val="20"/>
                <w:szCs w:val="20"/>
              </w:rPr>
              <w:t> </w:t>
            </w:r>
            <w:r>
              <w:rPr>
                <w:rFonts w:ascii="Arial" w:hAnsi="Arial" w:cs="Arial"/>
                <w:i/>
                <w:iCs/>
                <w:color w:val="000000"/>
                <w:sz w:val="20"/>
                <w:szCs w:val="20"/>
              </w:rPr>
              <w:t xml:space="preserve">¹Klinik Kesihatan </w:t>
            </w:r>
            <w:proofErr w:type="spellStart"/>
            <w:r>
              <w:rPr>
                <w:rFonts w:ascii="Arial" w:hAnsi="Arial" w:cs="Arial"/>
                <w:i/>
                <w:iCs/>
                <w:color w:val="000000"/>
                <w:sz w:val="20"/>
                <w:szCs w:val="20"/>
              </w:rPr>
              <w:t>Teluk</w:t>
            </w:r>
            <w:proofErr w:type="spellEnd"/>
            <w:r>
              <w:rPr>
                <w:rFonts w:ascii="Arial" w:hAnsi="Arial" w:cs="Arial"/>
                <w:i/>
                <w:iCs/>
                <w:color w:val="000000"/>
                <w:sz w:val="20"/>
                <w:szCs w:val="20"/>
              </w:rPr>
              <w:t xml:space="preserve"> Intan, </w:t>
            </w:r>
            <w:proofErr w:type="spellStart"/>
            <w:r>
              <w:rPr>
                <w:rFonts w:ascii="Arial" w:hAnsi="Arial" w:cs="Arial"/>
                <w:i/>
                <w:iCs/>
                <w:color w:val="000000"/>
                <w:sz w:val="20"/>
                <w:szCs w:val="20"/>
              </w:rPr>
              <w:t>Teluk</w:t>
            </w:r>
            <w:proofErr w:type="spellEnd"/>
            <w:r>
              <w:rPr>
                <w:rFonts w:ascii="Arial" w:hAnsi="Arial" w:cs="Arial"/>
                <w:i/>
                <w:iCs/>
                <w:color w:val="000000"/>
                <w:sz w:val="20"/>
                <w:szCs w:val="20"/>
              </w:rPr>
              <w:t xml:space="preserve"> Intan, Perak, Malaysia.</w:t>
            </w:r>
          </w:p>
          <w:p w14:paraId="77EAD21C" w14:textId="77777777" w:rsidR="000556E4" w:rsidRDefault="002F6A4A">
            <w:pPr>
              <w:pStyle w:val="NormalWeb"/>
              <w:spacing w:before="240" w:beforeAutospacing="0" w:after="240" w:afterAutospacing="0" w:line="21" w:lineRule="atLeast"/>
            </w:pPr>
            <w:r>
              <w:rPr>
                <w:rFonts w:ascii="Arial" w:hAnsi="Arial" w:cs="Arial"/>
                <w:color w:val="000000"/>
                <w:sz w:val="20"/>
                <w:szCs w:val="20"/>
              </w:rPr>
              <w:t> </w:t>
            </w:r>
          </w:p>
        </w:tc>
      </w:tr>
      <w:tr w:rsidR="000556E4" w14:paraId="24F49B9C" w14:textId="77777777">
        <w:trPr>
          <w:trHeight w:val="18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C70920" w14:textId="77777777" w:rsidR="000556E4" w:rsidRDefault="002F6A4A">
            <w:pPr>
              <w:pStyle w:val="NormalWeb"/>
              <w:spacing w:beforeAutospacing="0" w:afterAutospacing="0" w:line="21" w:lineRule="atLeast"/>
              <w:ind w:left="320"/>
            </w:pPr>
            <w:r>
              <w:rPr>
                <w:rFonts w:ascii="Arial" w:hAnsi="Arial" w:cs="Arial"/>
                <w:b/>
                <w:bCs/>
                <w:color w:val="000000"/>
                <w:sz w:val="20"/>
                <w:szCs w:val="20"/>
              </w:rPr>
              <w:t>NMRR number: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589C3B" w14:textId="77777777" w:rsidR="000556E4" w:rsidRDefault="002F6A4A">
            <w:pPr>
              <w:pStyle w:val="NormalWeb"/>
              <w:spacing w:before="240" w:beforeAutospacing="0" w:after="240" w:afterAutospacing="0" w:line="21" w:lineRule="atLeast"/>
              <w:ind w:right="-372"/>
            </w:pPr>
            <w:r>
              <w:rPr>
                <w:rFonts w:ascii="Arial" w:hAnsi="Arial" w:cs="Arial"/>
                <w:color w:val="000000"/>
                <w:sz w:val="20"/>
                <w:szCs w:val="20"/>
                <w:shd w:val="clear" w:color="auto" w:fill="FFFFFF"/>
              </w:rPr>
              <w:t>NMRR ID-26-00044-PEN</w:t>
            </w:r>
          </w:p>
        </w:tc>
      </w:tr>
      <w:tr w:rsidR="000556E4" w14:paraId="55D1E136" w14:textId="77777777">
        <w:trPr>
          <w:trHeight w:val="20955"/>
        </w:trPr>
        <w:tc>
          <w:tcPr>
            <w:tcW w:w="0" w:type="auto"/>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5710E2" w14:textId="77777777" w:rsidR="000556E4" w:rsidRDefault="002F6A4A">
            <w:pPr>
              <w:pStyle w:val="NormalWeb"/>
              <w:spacing w:before="200" w:beforeAutospacing="0" w:afterAutospacing="0" w:line="21" w:lineRule="atLeast"/>
              <w:ind w:right="60"/>
            </w:pPr>
            <w:r>
              <w:rPr>
                <w:rFonts w:ascii="Arial" w:hAnsi="Arial" w:cs="Arial"/>
                <w:b/>
                <w:bCs/>
                <w:color w:val="000000"/>
                <w:u w:val="single"/>
              </w:rPr>
              <w:lastRenderedPageBreak/>
              <w:t>Case Report</w:t>
            </w:r>
          </w:p>
          <w:p w14:paraId="51765F78" w14:textId="77777777" w:rsidR="000556E4" w:rsidRDefault="002F6A4A">
            <w:pPr>
              <w:pStyle w:val="NormalWeb"/>
              <w:spacing w:beforeAutospacing="0" w:afterAutospacing="0" w:line="21" w:lineRule="atLeast"/>
            </w:pPr>
            <w:r>
              <w:rPr>
                <w:rFonts w:ascii="Arial" w:hAnsi="Arial" w:cs="Arial"/>
                <w:b/>
                <w:bCs/>
                <w:color w:val="000000"/>
                <w:sz w:val="20"/>
                <w:szCs w:val="20"/>
                <w:shd w:val="clear" w:color="auto" w:fill="FFFFFF"/>
              </w:rPr>
              <w:t>INTRODUCTION:</w:t>
            </w:r>
            <w:r>
              <w:rPr>
                <w:rFonts w:ascii="Arial" w:hAnsi="Arial" w:cs="Arial"/>
                <w:color w:val="000000"/>
                <w:sz w:val="20"/>
                <w:szCs w:val="20"/>
                <w:shd w:val="clear" w:color="auto" w:fill="FFFFFF"/>
              </w:rPr>
              <w:t> </w:t>
            </w:r>
          </w:p>
          <w:p w14:paraId="1E5E3063" w14:textId="08A7C7CA" w:rsidR="000556E4" w:rsidRDefault="002F6A4A">
            <w:pPr>
              <w:pStyle w:val="NormalWeb"/>
              <w:spacing w:beforeAutospacing="0" w:afterAutospacing="0" w:line="21" w:lineRule="atLeast"/>
            </w:pPr>
            <w:r>
              <w:rPr>
                <w:rFonts w:ascii="Arial" w:hAnsi="Arial" w:cs="Arial"/>
                <w:color w:val="000000"/>
                <w:sz w:val="20"/>
                <w:szCs w:val="20"/>
                <w:shd w:val="clear" w:color="auto" w:fill="FFFFFF"/>
              </w:rPr>
              <w:t>Endometrial carcinoma is the second most common gynecological malignancy worldwide and a major cause of gynecologic cancer-related mortality</w:t>
            </w:r>
            <w:r>
              <w:rPr>
                <w:rFonts w:ascii="Arial" w:hAnsi="Arial" w:cs="Arial"/>
                <w:color w:val="000000"/>
                <w:sz w:val="20"/>
                <w:szCs w:val="20"/>
                <w:shd w:val="clear" w:color="auto" w:fill="FFFFFF"/>
              </w:rPr>
              <w:t>. Pulmonary metastases may occasionally represent the initial presentation of advanced disease. We report a case of metastatic endometrial carcinoma presenting predominantly with respiratory symptoms.  </w:t>
            </w:r>
          </w:p>
          <w:p w14:paraId="3C2B3F72" w14:textId="77777777" w:rsidR="000556E4" w:rsidRDefault="000556E4">
            <w:pPr>
              <w:textAlignment w:val="top"/>
            </w:pPr>
          </w:p>
          <w:p w14:paraId="44F833EF" w14:textId="77777777" w:rsidR="000556E4" w:rsidRDefault="002F6A4A">
            <w:pPr>
              <w:pStyle w:val="NormalWeb"/>
              <w:spacing w:beforeAutospacing="0" w:afterAutospacing="0" w:line="21" w:lineRule="atLeast"/>
            </w:pPr>
            <w:r>
              <w:rPr>
                <w:rFonts w:ascii="Arial" w:hAnsi="Arial" w:cs="Arial"/>
                <w:b/>
                <w:bCs/>
                <w:color w:val="000000"/>
                <w:sz w:val="20"/>
                <w:szCs w:val="20"/>
                <w:shd w:val="clear" w:color="auto" w:fill="FFFFFF"/>
              </w:rPr>
              <w:t>CASE REPORT:</w:t>
            </w:r>
          </w:p>
          <w:p w14:paraId="1D509B97" w14:textId="77777777" w:rsidR="000556E4" w:rsidRDefault="002F6A4A">
            <w:pPr>
              <w:pStyle w:val="NormalWeb"/>
              <w:spacing w:beforeAutospacing="0" w:afterAutospacing="0" w:line="21" w:lineRule="atLeast"/>
            </w:pPr>
            <w:r>
              <w:rPr>
                <w:rFonts w:ascii="Arial" w:hAnsi="Arial" w:cs="Arial"/>
                <w:color w:val="000000"/>
                <w:sz w:val="20"/>
                <w:szCs w:val="20"/>
                <w:shd w:val="clear" w:color="auto" w:fill="FFFFFF"/>
              </w:rPr>
              <w:t>A 55-year-old multiparous woman (para 5+2) presented with a two-month history of chronic productive cough, anorexia, and unintentional weight loss of 8 kg. She had previously sought treatment from multiple general practitioners and traditional healers without improvement.</w:t>
            </w:r>
          </w:p>
          <w:p w14:paraId="35689F5D" w14:textId="77777777" w:rsidR="000556E4" w:rsidRDefault="002F6A4A">
            <w:pPr>
              <w:pStyle w:val="NormalWeb"/>
              <w:spacing w:before="240" w:beforeAutospacing="0" w:after="240" w:afterAutospacing="0" w:line="21" w:lineRule="atLeast"/>
            </w:pPr>
            <w:r>
              <w:rPr>
                <w:rFonts w:ascii="Arial" w:hAnsi="Arial" w:cs="Arial"/>
                <w:color w:val="000000"/>
                <w:sz w:val="20"/>
                <w:szCs w:val="20"/>
                <w:shd w:val="clear" w:color="auto" w:fill="FFFFFF"/>
              </w:rPr>
              <w:t>Further history revealed prolonged abnormal uterine bleeding for one month. Over the preceding three years, she experienced infrequent menstruation occurring approximately once yearly, which she attributed to perimenopausal changes. There was no associated abdominal pain or history of ectopic or molar pregnancy.</w:t>
            </w:r>
          </w:p>
          <w:p w14:paraId="4B29E8F3" w14:textId="77777777" w:rsidR="000556E4" w:rsidRDefault="002F6A4A">
            <w:pPr>
              <w:pStyle w:val="NormalWeb"/>
              <w:spacing w:before="240" w:beforeAutospacing="0" w:after="240" w:afterAutospacing="0" w:line="21" w:lineRule="atLeast"/>
            </w:pPr>
            <w:r>
              <w:rPr>
                <w:rFonts w:ascii="Arial" w:hAnsi="Arial" w:cs="Arial"/>
                <w:color w:val="000000"/>
                <w:sz w:val="20"/>
                <w:szCs w:val="20"/>
                <w:shd w:val="clear" w:color="auto" w:fill="FFFFFF"/>
              </w:rPr>
              <w:t>Physical examination revealed a suprapubic mass measuring approximately 10 × 12 cm. Respiratory examination was unremarkable. Hemoglobin level was 11.9 g/dL. Sputum culture and three consecutive acid-fast bacilli smears were negative.</w:t>
            </w:r>
          </w:p>
          <w:p w14:paraId="73C0E781" w14:textId="77777777" w:rsidR="000556E4" w:rsidRDefault="002F6A4A">
            <w:pPr>
              <w:pStyle w:val="NormalWeb"/>
              <w:spacing w:before="240" w:beforeAutospacing="0" w:after="240" w:afterAutospacing="0" w:line="21" w:lineRule="atLeast"/>
            </w:pPr>
            <w:r>
              <w:rPr>
                <w:rFonts w:ascii="Arial" w:hAnsi="Arial" w:cs="Arial"/>
                <w:color w:val="000000"/>
                <w:sz w:val="20"/>
                <w:szCs w:val="20"/>
                <w:shd w:val="clear" w:color="auto" w:fill="FFFFFF"/>
              </w:rPr>
              <w:t xml:space="preserve">Transabdominal ultrasonography demonstrated a heterogeneous uterine mass measuring 10 × 12 cm. Chest radiography showed multiple well-circumscribed rounded opacities consistent with cannonball lesions. Initial </w:t>
            </w:r>
            <w:proofErr w:type="spellStart"/>
            <w:r>
              <w:rPr>
                <w:rFonts w:ascii="Arial" w:hAnsi="Arial" w:cs="Arial"/>
                <w:color w:val="000000"/>
                <w:sz w:val="20"/>
                <w:szCs w:val="20"/>
                <w:shd w:val="clear" w:color="auto" w:fill="FFFFFF"/>
              </w:rPr>
              <w:t>pipelle</w:t>
            </w:r>
            <w:proofErr w:type="spellEnd"/>
            <w:r>
              <w:rPr>
                <w:rFonts w:ascii="Arial" w:hAnsi="Arial" w:cs="Arial"/>
                <w:color w:val="000000"/>
                <w:sz w:val="20"/>
                <w:szCs w:val="20"/>
                <w:shd w:val="clear" w:color="auto" w:fill="FFFFFF"/>
              </w:rPr>
              <w:t xml:space="preserve"> endometrial sampling was inconclusive; repeat histopathological examination revealed a high-grade undifferentiated malignant neoplasm, suggestive of undifferentiated uterine sarcoma or undifferentiated endometrial carcinoma.</w:t>
            </w:r>
          </w:p>
          <w:p w14:paraId="225F7537" w14:textId="77777777" w:rsidR="000556E4" w:rsidRDefault="002F6A4A">
            <w:pPr>
              <w:pStyle w:val="NormalWeb"/>
              <w:spacing w:before="240" w:beforeAutospacing="0" w:after="240" w:afterAutospacing="0" w:line="21" w:lineRule="atLeast"/>
            </w:pPr>
            <w:r>
              <w:rPr>
                <w:rFonts w:ascii="Arial" w:hAnsi="Arial" w:cs="Arial"/>
                <w:color w:val="000000"/>
                <w:sz w:val="20"/>
                <w:szCs w:val="20"/>
                <w:shd w:val="clear" w:color="auto" w:fill="FFFFFF"/>
              </w:rPr>
              <w:t>Contrast-enhanced computed tomography demonstrated a large lobulated uterine mass with multiple pulmonary nodules, a metastatic lesion involving the left sixth rib, and a suspicious hepatic lesion. The patient was subsequently referred for palliative care</w:t>
            </w:r>
          </w:p>
          <w:p w14:paraId="1588922F" w14:textId="77777777" w:rsidR="000556E4" w:rsidRDefault="002F6A4A">
            <w:pPr>
              <w:pStyle w:val="NormalWeb"/>
              <w:spacing w:beforeAutospacing="0" w:afterAutospacing="0" w:line="21" w:lineRule="atLeast"/>
            </w:pPr>
            <w:r>
              <w:rPr>
                <w:rFonts w:ascii="Arial" w:hAnsi="Arial" w:cs="Arial"/>
                <w:b/>
                <w:bCs/>
                <w:color w:val="000000"/>
                <w:sz w:val="20"/>
                <w:szCs w:val="20"/>
                <w:shd w:val="clear" w:color="auto" w:fill="FFFFFF"/>
              </w:rPr>
              <w:t>DISCUSSION:</w:t>
            </w:r>
          </w:p>
          <w:p w14:paraId="052C19FD" w14:textId="37912D3B" w:rsidR="000556E4" w:rsidRDefault="002F6A4A">
            <w:pPr>
              <w:pStyle w:val="NormalWeb"/>
              <w:spacing w:beforeAutospacing="0" w:afterAutospacing="0" w:line="21" w:lineRule="atLeast"/>
            </w:pPr>
            <w:r>
              <w:rPr>
                <w:rFonts w:ascii="Arial" w:hAnsi="Arial" w:cs="Arial"/>
                <w:color w:val="000000"/>
                <w:sz w:val="20"/>
                <w:szCs w:val="20"/>
                <w:shd w:val="clear" w:color="auto" w:fill="FFFFFF"/>
              </w:rPr>
              <w:t>Endometrial carcinoma commonly affects postmenopausal women aged 55–65 years and is associated with prolonged unopposed estrogen exposure</w:t>
            </w:r>
            <w:r>
              <w:rPr>
                <w:rFonts w:ascii="Arial" w:hAnsi="Arial" w:cs="Arial"/>
                <w:color w:val="000000"/>
                <w:sz w:val="20"/>
                <w:szCs w:val="20"/>
                <w:shd w:val="clear" w:color="auto" w:fill="FFFFFF"/>
              </w:rPr>
              <w:t>. Pulmonary metastases are the most frequent site of distant spread and typically present as multiple bilateral pulmonary nodules</w:t>
            </w:r>
            <w:r>
              <w:rPr>
                <w:rFonts w:ascii="Arial" w:hAnsi="Arial" w:cs="Arial"/>
                <w:color w:val="000000"/>
                <w:sz w:val="20"/>
                <w:szCs w:val="20"/>
                <w:shd w:val="clear" w:color="auto" w:fill="FFFFFF"/>
              </w:rPr>
              <w:t>.</w:t>
            </w:r>
          </w:p>
          <w:p w14:paraId="6EC1EC66" w14:textId="77777777" w:rsidR="000556E4" w:rsidRDefault="002F6A4A">
            <w:pPr>
              <w:pStyle w:val="NormalWeb"/>
              <w:spacing w:before="240" w:beforeAutospacing="0" w:after="240" w:afterAutospacing="0" w:line="21" w:lineRule="atLeast"/>
            </w:pPr>
            <w:r>
              <w:rPr>
                <w:rFonts w:ascii="Arial" w:hAnsi="Arial" w:cs="Arial"/>
                <w:color w:val="000000"/>
                <w:sz w:val="20"/>
                <w:szCs w:val="20"/>
                <w:shd w:val="clear" w:color="auto" w:fill="FFFFFF"/>
              </w:rPr>
              <w:t>In this case, respiratory symptoms secondary to pulmonary metastases were the primary presenting complaint, resulting in delayed recognition of the underlying gynecological malignancy. The advanced stage and aggressive nature of the disease precluded definitive treatment.</w:t>
            </w:r>
          </w:p>
          <w:p w14:paraId="17FB22EC" w14:textId="77777777" w:rsidR="000556E4" w:rsidRDefault="002F6A4A">
            <w:pPr>
              <w:pStyle w:val="NormalWeb"/>
              <w:spacing w:before="240" w:beforeAutospacing="0" w:after="240" w:afterAutospacing="0" w:line="21" w:lineRule="atLeast"/>
            </w:pPr>
            <w:r>
              <w:rPr>
                <w:rFonts w:ascii="Arial" w:hAnsi="Arial" w:cs="Arial"/>
                <w:b/>
                <w:bCs/>
                <w:color w:val="1B1B1B"/>
                <w:sz w:val="20"/>
                <w:szCs w:val="20"/>
                <w:shd w:val="clear" w:color="auto" w:fill="FFFFFF"/>
              </w:rPr>
              <w:t>CONCLUSION</w:t>
            </w:r>
            <w:r>
              <w:rPr>
                <w:rFonts w:ascii="Arial" w:hAnsi="Arial" w:cs="Arial"/>
                <w:color w:val="1B1B1B"/>
                <w:sz w:val="20"/>
                <w:szCs w:val="20"/>
                <w:shd w:val="clear" w:color="auto" w:fill="FFFFFF"/>
              </w:rPr>
              <w:t>: </w:t>
            </w:r>
          </w:p>
          <w:p w14:paraId="19ACF0B9" w14:textId="77777777" w:rsidR="000556E4" w:rsidRDefault="002F6A4A">
            <w:pPr>
              <w:pStyle w:val="NormalWeb"/>
              <w:spacing w:before="240" w:beforeAutospacing="0" w:after="240" w:afterAutospacing="0" w:line="21" w:lineRule="atLeast"/>
            </w:pPr>
            <w:r>
              <w:rPr>
                <w:rFonts w:ascii="Arial" w:hAnsi="Arial" w:cs="Arial"/>
                <w:color w:val="1B1B1B"/>
                <w:sz w:val="20"/>
                <w:szCs w:val="20"/>
                <w:shd w:val="clear" w:color="auto" w:fill="FFFFFF"/>
              </w:rPr>
              <w:t>This case highlights the aggressive presentation of metastatic endometrial carcinoma and the importance of considering gynecological malignancy in postmenopausal women presenting with respiratory symptoms and pulmonary nodules. Detailed gynecological history and evaluation remain essential for early diagnosis and timely management. </w:t>
            </w:r>
          </w:p>
        </w:tc>
      </w:tr>
    </w:tbl>
    <w:p w14:paraId="44016444" w14:textId="77777777" w:rsidR="000556E4" w:rsidRDefault="000556E4"/>
    <w:sectPr w:rsidR="000556E4">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E31458E"/>
    <w:rsid w:val="000556E4"/>
    <w:rsid w:val="002F6A4A"/>
    <w:rsid w:val="00C33649"/>
    <w:rsid w:val="00EF4CD8"/>
    <w:rsid w:val="7E314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D0ED91"/>
  <w15:docId w15:val="{57F32F9C-B17B-4B72-B2FD-046E80B75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alyza Yusuf</dc:creator>
  <cp:lastModifiedBy>David Chang Chee Tao</cp:lastModifiedBy>
  <cp:revision>2</cp:revision>
  <dcterms:created xsi:type="dcterms:W3CDTF">2026-05-18T00:04:00Z</dcterms:created>
  <dcterms:modified xsi:type="dcterms:W3CDTF">2026-05-18T01:25:00Z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01CCB457EF33454F87B0AD72F12C39C9_11</vt:lpwstr>
  </property>
  <property fmtid="{D5CDD505-2E9C-101B-9397-08002B2CF9AE}" pid="4" name="KSOTemplateDocerSaveRecord">
    <vt:lpwstr>eyJoZGlkIjoiMzAyM2NkMjRhMjgzNzBlNjQzOGY5ZGM5NmUyNzVhMGIiLCJ1c2VySWQiOiI4ODEzNDU2Njk1NzE5In0=</vt:lpwstr>
  </property>
</Properties>
</file>