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9B1C8" w14:textId="77777777" w:rsidR="00541B43" w:rsidRPr="00FE74CF" w:rsidRDefault="00541B43" w:rsidP="00541B43">
      <w:pPr>
        <w:pStyle w:val="Style1"/>
        <w:spacing w:line="240" w:lineRule="auto"/>
        <w:rPr>
          <w:rFonts w:ascii="Arial" w:hAnsi="Arial" w:cs="Arial"/>
          <w:sz w:val="28"/>
          <w:szCs w:val="28"/>
          <w:lang w:val="en-MY"/>
        </w:rPr>
      </w:pPr>
      <w:r w:rsidRPr="00FE74CF">
        <w:rPr>
          <w:rFonts w:ascii="Arial" w:hAnsi="Arial" w:cs="Arial"/>
          <w:sz w:val="28"/>
          <w:szCs w:val="28"/>
        </w:rPr>
        <w:t>CHARACTERISTIC</w:t>
      </w:r>
      <w:r>
        <w:rPr>
          <w:rFonts w:ascii="Arial" w:hAnsi="Arial" w:cs="Arial"/>
          <w:sz w:val="28"/>
          <w:szCs w:val="28"/>
        </w:rPr>
        <w:t>S</w:t>
      </w:r>
      <w:r w:rsidRPr="00FE74CF">
        <w:rPr>
          <w:rFonts w:ascii="Arial" w:hAnsi="Arial" w:cs="Arial"/>
          <w:sz w:val="28"/>
          <w:szCs w:val="28"/>
        </w:rPr>
        <w:t xml:space="preserve"> OF VACCI</w:t>
      </w:r>
      <w:r>
        <w:rPr>
          <w:rFonts w:ascii="Arial" w:hAnsi="Arial" w:cs="Arial"/>
          <w:sz w:val="28"/>
          <w:szCs w:val="28"/>
        </w:rPr>
        <w:t>NE</w:t>
      </w:r>
      <w:r w:rsidRPr="00FE74CF">
        <w:rPr>
          <w:rFonts w:ascii="Arial" w:hAnsi="Arial" w:cs="Arial"/>
          <w:sz w:val="28"/>
          <w:szCs w:val="28"/>
        </w:rPr>
        <w:t xml:space="preserve"> HESITANCY AMONG PARENTS IN HILIR PERAK DISTRICT </w:t>
      </w:r>
      <w:r>
        <w:rPr>
          <w:rFonts w:ascii="Arial" w:hAnsi="Arial" w:cs="Arial"/>
          <w:sz w:val="28"/>
          <w:szCs w:val="28"/>
        </w:rPr>
        <w:t>(</w:t>
      </w:r>
      <w:r w:rsidRPr="00FE74CF">
        <w:rPr>
          <w:rFonts w:ascii="Arial" w:hAnsi="Arial" w:cs="Arial"/>
          <w:sz w:val="28"/>
          <w:szCs w:val="28"/>
        </w:rPr>
        <w:t>2016-2024</w:t>
      </w:r>
      <w:r>
        <w:rPr>
          <w:rFonts w:ascii="Arial" w:hAnsi="Arial" w:cs="Arial"/>
          <w:sz w:val="28"/>
          <w:szCs w:val="28"/>
        </w:rPr>
        <w:t>)</w:t>
      </w:r>
    </w:p>
    <w:p w14:paraId="4616323A" w14:textId="77777777" w:rsidR="00541B43" w:rsidRPr="00FE74CF" w:rsidRDefault="00541B43" w:rsidP="00541B43">
      <w:pPr>
        <w:spacing w:line="240" w:lineRule="auto"/>
        <w:jc w:val="both"/>
        <w:rPr>
          <w:rFonts w:ascii="Arial" w:hAnsi="Arial" w:cs="Arial"/>
          <w:i/>
          <w:iCs/>
        </w:rPr>
      </w:pPr>
      <w:proofErr w:type="spellStart"/>
      <w:r w:rsidRPr="00FE74CF">
        <w:rPr>
          <w:rFonts w:ascii="Arial" w:hAnsi="Arial" w:cs="Arial"/>
          <w:i/>
          <w:iCs/>
        </w:rPr>
        <w:t>Zatil</w:t>
      </w:r>
      <w:proofErr w:type="spellEnd"/>
      <w:r w:rsidRPr="00FE74CF">
        <w:rPr>
          <w:rFonts w:ascii="Arial" w:hAnsi="Arial" w:cs="Arial"/>
          <w:i/>
          <w:iCs/>
        </w:rPr>
        <w:t xml:space="preserve"> Zahidah Sharani</w:t>
      </w:r>
      <w:r w:rsidRPr="00FE74CF">
        <w:rPr>
          <w:rFonts w:ascii="Arial" w:hAnsi="Arial" w:cs="Arial"/>
          <w:i/>
          <w:iCs/>
          <w:vertAlign w:val="superscript"/>
        </w:rPr>
        <w:t>1</w:t>
      </w:r>
      <w:r w:rsidRPr="00FE74CF">
        <w:rPr>
          <w:rFonts w:ascii="Arial" w:hAnsi="Arial" w:cs="Arial"/>
          <w:i/>
          <w:iCs/>
        </w:rPr>
        <w:t xml:space="preserve">*, </w:t>
      </w:r>
      <w:proofErr w:type="spellStart"/>
      <w:r w:rsidRPr="00FE74CF">
        <w:rPr>
          <w:rFonts w:ascii="Arial" w:hAnsi="Arial" w:cs="Arial"/>
          <w:i/>
          <w:iCs/>
        </w:rPr>
        <w:t>Hazwani</w:t>
      </w:r>
      <w:proofErr w:type="spellEnd"/>
      <w:r w:rsidRPr="00FE74CF">
        <w:rPr>
          <w:rFonts w:ascii="Arial" w:hAnsi="Arial" w:cs="Arial"/>
          <w:i/>
          <w:iCs/>
        </w:rPr>
        <w:t xml:space="preserve"> Nabihah Basri</w:t>
      </w:r>
      <w:r w:rsidRPr="00FE74CF">
        <w:rPr>
          <w:rFonts w:ascii="Arial" w:hAnsi="Arial" w:cs="Arial"/>
          <w:i/>
          <w:iCs/>
          <w:vertAlign w:val="superscript"/>
        </w:rPr>
        <w:t>1</w:t>
      </w:r>
      <w:r w:rsidRPr="00FE74CF">
        <w:rPr>
          <w:rFonts w:ascii="Arial" w:hAnsi="Arial" w:cs="Arial"/>
          <w:i/>
          <w:iCs/>
        </w:rPr>
        <w:t>, Siti Rohani Nurumal</w:t>
      </w:r>
      <w:r w:rsidRPr="00FE74CF">
        <w:rPr>
          <w:rFonts w:ascii="Arial" w:hAnsi="Arial" w:cs="Arial"/>
          <w:i/>
          <w:iCs/>
          <w:vertAlign w:val="superscript"/>
        </w:rPr>
        <w:t>1</w:t>
      </w:r>
      <w:r w:rsidRPr="00FE74CF">
        <w:rPr>
          <w:rFonts w:ascii="Arial" w:hAnsi="Arial" w:cs="Arial"/>
          <w:i/>
          <w:iCs/>
        </w:rPr>
        <w:t xml:space="preserve"> </w:t>
      </w:r>
    </w:p>
    <w:p w14:paraId="5C91BC7A" w14:textId="77777777" w:rsidR="00541B43" w:rsidRPr="00FE74CF" w:rsidRDefault="00541B43" w:rsidP="00541B43">
      <w:pPr>
        <w:spacing w:line="240" w:lineRule="auto"/>
        <w:jc w:val="both"/>
        <w:rPr>
          <w:rFonts w:ascii="Arial" w:hAnsi="Arial" w:cs="Arial"/>
          <w:i/>
          <w:iCs/>
          <w:lang w:val="en-US"/>
        </w:rPr>
      </w:pPr>
      <w:r w:rsidRPr="00FE74CF">
        <w:rPr>
          <w:rFonts w:ascii="Arial" w:hAnsi="Arial" w:cs="Arial"/>
          <w:i/>
          <w:iCs/>
          <w:vertAlign w:val="superscript"/>
        </w:rPr>
        <w:t>1</w:t>
      </w:r>
      <w:r w:rsidRPr="00FE74CF">
        <w:rPr>
          <w:rFonts w:ascii="Arial" w:hAnsi="Arial" w:cs="Arial"/>
          <w:i/>
          <w:iCs/>
        </w:rPr>
        <w:t xml:space="preserve">Hilir Perak Health District Office, Jalan </w:t>
      </w:r>
      <w:proofErr w:type="spellStart"/>
      <w:r w:rsidRPr="00FE74CF">
        <w:rPr>
          <w:rFonts w:ascii="Arial" w:hAnsi="Arial" w:cs="Arial"/>
          <w:i/>
          <w:iCs/>
        </w:rPr>
        <w:t>Maharajalela</w:t>
      </w:r>
      <w:proofErr w:type="spellEnd"/>
      <w:r w:rsidRPr="00FE74CF">
        <w:rPr>
          <w:rFonts w:ascii="Arial" w:hAnsi="Arial" w:cs="Arial"/>
          <w:i/>
          <w:iCs/>
        </w:rPr>
        <w:t xml:space="preserve">, 36000 </w:t>
      </w:r>
      <w:proofErr w:type="spellStart"/>
      <w:r w:rsidRPr="00FE74CF">
        <w:rPr>
          <w:rFonts w:ascii="Arial" w:hAnsi="Arial" w:cs="Arial"/>
          <w:i/>
          <w:iCs/>
        </w:rPr>
        <w:t>Teluk</w:t>
      </w:r>
      <w:proofErr w:type="spellEnd"/>
      <w:r w:rsidRPr="00FE74CF">
        <w:rPr>
          <w:rFonts w:ascii="Arial" w:hAnsi="Arial" w:cs="Arial"/>
          <w:i/>
          <w:iCs/>
        </w:rPr>
        <w:t xml:space="preserve"> Intan, Perak Darul </w:t>
      </w:r>
      <w:proofErr w:type="spellStart"/>
      <w:r w:rsidRPr="00FE74CF">
        <w:rPr>
          <w:rFonts w:ascii="Arial" w:hAnsi="Arial" w:cs="Arial"/>
          <w:i/>
          <w:iCs/>
        </w:rPr>
        <w:t>Ridzuan</w:t>
      </w:r>
      <w:proofErr w:type="spellEnd"/>
    </w:p>
    <w:p w14:paraId="5DF87341" w14:textId="77777777" w:rsidR="00541B43" w:rsidRDefault="00541B43" w:rsidP="00541B43">
      <w:pPr>
        <w:spacing w:line="240" w:lineRule="auto"/>
        <w:jc w:val="both"/>
        <w:rPr>
          <w:rFonts w:ascii="Arial" w:hAnsi="Arial" w:cs="Arial"/>
          <w:lang w:val="en-US"/>
        </w:rPr>
      </w:pPr>
      <w:r w:rsidRPr="00FE74CF">
        <w:rPr>
          <w:rFonts w:ascii="Arial" w:hAnsi="Arial" w:cs="Arial"/>
          <w:lang w:val="en-US"/>
        </w:rPr>
        <w:t xml:space="preserve">*Corresponding Author: </w:t>
      </w:r>
    </w:p>
    <w:p w14:paraId="1F6A63C6" w14:textId="77777777" w:rsidR="00541B43" w:rsidRPr="00FE74CF" w:rsidRDefault="00541B43" w:rsidP="00541B43">
      <w:pPr>
        <w:spacing w:line="240" w:lineRule="auto"/>
        <w:jc w:val="both"/>
        <w:rPr>
          <w:rFonts w:ascii="Arial" w:hAnsi="Arial" w:cs="Arial"/>
          <w:lang w:val="en-US"/>
        </w:rPr>
      </w:pPr>
      <w:r>
        <w:rPr>
          <w:rFonts w:ascii="Arial" w:hAnsi="Arial" w:cs="Arial"/>
          <w:lang w:val="en-US"/>
        </w:rPr>
        <w:t xml:space="preserve">Name: </w:t>
      </w:r>
      <w:proofErr w:type="spellStart"/>
      <w:r w:rsidRPr="00FE74CF">
        <w:rPr>
          <w:rFonts w:ascii="Arial" w:hAnsi="Arial" w:cs="Arial"/>
          <w:lang w:val="en-US"/>
        </w:rPr>
        <w:t>Zatil</w:t>
      </w:r>
      <w:proofErr w:type="spellEnd"/>
      <w:r w:rsidRPr="00FE74CF">
        <w:rPr>
          <w:rFonts w:ascii="Arial" w:hAnsi="Arial" w:cs="Arial"/>
          <w:lang w:val="en-US"/>
        </w:rPr>
        <w:t xml:space="preserve"> Zahidah Binti Mohd Sharani (MD, DrPH)</w:t>
      </w:r>
    </w:p>
    <w:p w14:paraId="4F8270A1" w14:textId="77777777" w:rsidR="00541B43" w:rsidRPr="00FE74CF" w:rsidRDefault="00541B43" w:rsidP="00541B43">
      <w:pPr>
        <w:spacing w:line="240" w:lineRule="auto"/>
        <w:jc w:val="both"/>
        <w:rPr>
          <w:rFonts w:ascii="Arial" w:hAnsi="Arial" w:cs="Arial"/>
          <w:i/>
          <w:iCs/>
          <w:lang w:val="en-US"/>
        </w:rPr>
      </w:pPr>
      <w:r w:rsidRPr="00FE74CF">
        <w:rPr>
          <w:rFonts w:ascii="Arial" w:hAnsi="Arial" w:cs="Arial"/>
          <w:lang w:val="en-US"/>
        </w:rPr>
        <w:t>Hilir Perak Health District Office,</w:t>
      </w:r>
      <w:r>
        <w:rPr>
          <w:rFonts w:ascii="Arial" w:hAnsi="Arial" w:cs="Arial"/>
          <w:lang w:val="en-US"/>
        </w:rPr>
        <w:t xml:space="preserve"> </w:t>
      </w:r>
      <w:r w:rsidRPr="00FE74CF">
        <w:rPr>
          <w:rFonts w:ascii="Arial" w:hAnsi="Arial" w:cs="Arial"/>
          <w:i/>
          <w:iCs/>
        </w:rPr>
        <w:t xml:space="preserve">Jalan </w:t>
      </w:r>
      <w:proofErr w:type="spellStart"/>
      <w:r w:rsidRPr="00FE74CF">
        <w:rPr>
          <w:rFonts w:ascii="Arial" w:hAnsi="Arial" w:cs="Arial"/>
          <w:i/>
          <w:iCs/>
        </w:rPr>
        <w:t>Maharajalela</w:t>
      </w:r>
      <w:proofErr w:type="spellEnd"/>
      <w:r w:rsidRPr="00FE74CF">
        <w:rPr>
          <w:rFonts w:ascii="Arial" w:hAnsi="Arial" w:cs="Arial"/>
          <w:i/>
          <w:iCs/>
        </w:rPr>
        <w:t xml:space="preserve">, 36000 </w:t>
      </w:r>
      <w:proofErr w:type="spellStart"/>
      <w:r w:rsidRPr="00FE74CF">
        <w:rPr>
          <w:rFonts w:ascii="Arial" w:hAnsi="Arial" w:cs="Arial"/>
          <w:i/>
          <w:iCs/>
        </w:rPr>
        <w:t>Teluk</w:t>
      </w:r>
      <w:proofErr w:type="spellEnd"/>
      <w:r w:rsidRPr="00FE74CF">
        <w:rPr>
          <w:rFonts w:ascii="Arial" w:hAnsi="Arial" w:cs="Arial"/>
          <w:i/>
          <w:iCs/>
        </w:rPr>
        <w:t xml:space="preserve"> Intan, Perak Darul </w:t>
      </w:r>
      <w:proofErr w:type="spellStart"/>
      <w:r w:rsidRPr="00FE74CF">
        <w:rPr>
          <w:rFonts w:ascii="Arial" w:hAnsi="Arial" w:cs="Arial"/>
          <w:i/>
          <w:iCs/>
        </w:rPr>
        <w:t>Ridzuan</w:t>
      </w:r>
      <w:proofErr w:type="spellEnd"/>
    </w:p>
    <w:p w14:paraId="5A27B830" w14:textId="77777777" w:rsidR="00541B43" w:rsidRDefault="00541B43" w:rsidP="00541B43">
      <w:pPr>
        <w:spacing w:line="240" w:lineRule="auto"/>
        <w:jc w:val="both"/>
        <w:rPr>
          <w:rFonts w:ascii="Arial" w:hAnsi="Arial" w:cs="Arial"/>
          <w:lang w:val="en-US"/>
        </w:rPr>
      </w:pPr>
      <w:r w:rsidRPr="00FE74CF">
        <w:rPr>
          <w:rFonts w:ascii="Arial" w:hAnsi="Arial" w:cs="Arial"/>
          <w:lang w:val="en-US"/>
        </w:rPr>
        <w:t>Email</w:t>
      </w:r>
      <w:r>
        <w:rPr>
          <w:rFonts w:ascii="Arial" w:hAnsi="Arial" w:cs="Arial"/>
          <w:lang w:val="en-US"/>
        </w:rPr>
        <w:t xml:space="preserve"> address</w:t>
      </w:r>
      <w:r w:rsidRPr="00FE74CF">
        <w:rPr>
          <w:rFonts w:ascii="Arial" w:hAnsi="Arial" w:cs="Arial"/>
          <w:lang w:val="en-US"/>
        </w:rPr>
        <w:t xml:space="preserve">: </w:t>
      </w:r>
      <w:hyperlink r:id="rId4" w:history="1">
        <w:r w:rsidRPr="002041B0">
          <w:rPr>
            <w:rStyle w:val="Hyperlink"/>
            <w:rFonts w:ascii="Arial" w:hAnsi="Arial" w:cs="Arial"/>
            <w:lang w:val="en-US"/>
          </w:rPr>
          <w:t>zatil.zahidah@moh.gov.my</w:t>
        </w:r>
      </w:hyperlink>
      <w:r>
        <w:rPr>
          <w:rFonts w:ascii="Arial" w:hAnsi="Arial" w:cs="Arial"/>
          <w:lang w:val="en-US"/>
        </w:rPr>
        <w:t>; Contact number: +013-2733603</w:t>
      </w:r>
    </w:p>
    <w:p w14:paraId="40D1F243" w14:textId="77777777" w:rsidR="00541B43" w:rsidRDefault="00541B43" w:rsidP="00541B43">
      <w:pPr>
        <w:spacing w:line="240" w:lineRule="auto"/>
        <w:jc w:val="both"/>
        <w:rPr>
          <w:rFonts w:ascii="Arial" w:hAnsi="Arial" w:cs="Arial"/>
          <w:lang w:val="en-US"/>
        </w:rPr>
      </w:pPr>
      <w:r>
        <w:rPr>
          <w:rFonts w:ascii="Arial" w:hAnsi="Arial" w:cs="Arial"/>
          <w:lang w:val="en-US"/>
        </w:rPr>
        <w:t>NMRR ID: NMRR ID-25-03922-ZUV</w:t>
      </w:r>
    </w:p>
    <w:p w14:paraId="4B6724C1" w14:textId="77777777" w:rsidR="00541B43" w:rsidRDefault="00541B43" w:rsidP="00541B43">
      <w:pPr>
        <w:spacing w:line="240" w:lineRule="auto"/>
        <w:jc w:val="both"/>
        <w:rPr>
          <w:rFonts w:ascii="Arial" w:hAnsi="Arial" w:cs="Arial"/>
          <w:lang w:val="en-US"/>
        </w:rPr>
      </w:pPr>
    </w:p>
    <w:p w14:paraId="31F7C8E2" w14:textId="03A041B8" w:rsidR="00541B43" w:rsidRDefault="009E2C13" w:rsidP="001734FA">
      <w:pPr>
        <w:spacing w:line="240" w:lineRule="auto"/>
        <w:jc w:val="both"/>
        <w:rPr>
          <w:rFonts w:ascii="Arial" w:hAnsi="Arial" w:cs="Arial"/>
          <w:b/>
          <w:bCs/>
          <w:sz w:val="24"/>
          <w:szCs w:val="24"/>
        </w:rPr>
      </w:pPr>
      <w:r>
        <w:rPr>
          <w:rFonts w:ascii="Arial" w:hAnsi="Arial" w:cs="Arial"/>
          <w:b/>
          <w:bCs/>
          <w:sz w:val="24"/>
          <w:szCs w:val="24"/>
        </w:rPr>
        <w:t>Abstract</w:t>
      </w:r>
    </w:p>
    <w:p w14:paraId="76E63A67" w14:textId="3D56747D" w:rsidR="009E2C13" w:rsidRPr="009E2C13" w:rsidRDefault="009E2C13" w:rsidP="001734FA">
      <w:pPr>
        <w:spacing w:line="240" w:lineRule="auto"/>
        <w:jc w:val="both"/>
        <w:rPr>
          <w:rFonts w:ascii="Arial" w:hAnsi="Arial" w:cs="Arial"/>
          <w:sz w:val="24"/>
          <w:szCs w:val="24"/>
        </w:rPr>
      </w:pPr>
      <w:r w:rsidRPr="009E2C13">
        <w:rPr>
          <w:rFonts w:ascii="Arial" w:hAnsi="Arial" w:cs="Arial"/>
          <w:sz w:val="24"/>
          <w:szCs w:val="24"/>
        </w:rPr>
        <w:t>Introduction and objectives</w:t>
      </w:r>
    </w:p>
    <w:p w14:paraId="10180531" w14:textId="00BB7157" w:rsidR="001734FA" w:rsidRDefault="001734FA" w:rsidP="001734FA">
      <w:pPr>
        <w:spacing w:line="240" w:lineRule="auto"/>
        <w:jc w:val="both"/>
        <w:rPr>
          <w:rFonts w:ascii="Arial" w:hAnsi="Arial" w:cs="Arial"/>
          <w:sz w:val="24"/>
          <w:szCs w:val="24"/>
        </w:rPr>
      </w:pPr>
      <w:r w:rsidRPr="001734FA">
        <w:rPr>
          <w:rFonts w:ascii="Arial" w:hAnsi="Arial" w:cs="Arial"/>
          <w:sz w:val="24"/>
          <w:szCs w:val="24"/>
        </w:rPr>
        <w:t>Vaccine hesitancy, defined as the delay in acceptance or refusal of vaccination despite the availability of vaccination services, is a growing public health concern that threatens herd immunity and increases the risk of disease outbreaks. This study aimed to describe the trends and factors associated with vaccine hesitancy among parents in Hilir Perak District.</w:t>
      </w:r>
    </w:p>
    <w:p w14:paraId="2FC50BD1" w14:textId="271E3462" w:rsidR="009E2C13" w:rsidRPr="001734FA" w:rsidRDefault="009E2C13" w:rsidP="001734FA">
      <w:pPr>
        <w:spacing w:line="240" w:lineRule="auto"/>
        <w:jc w:val="both"/>
        <w:rPr>
          <w:rFonts w:ascii="Arial" w:hAnsi="Arial" w:cs="Arial"/>
          <w:sz w:val="24"/>
          <w:szCs w:val="24"/>
        </w:rPr>
      </w:pPr>
      <w:r>
        <w:rPr>
          <w:rFonts w:ascii="Arial" w:hAnsi="Arial" w:cs="Arial"/>
          <w:sz w:val="24"/>
          <w:szCs w:val="24"/>
        </w:rPr>
        <w:t>Methods</w:t>
      </w:r>
    </w:p>
    <w:p w14:paraId="048BDBD5" w14:textId="77777777" w:rsidR="001734FA" w:rsidRDefault="001734FA" w:rsidP="001734FA">
      <w:pPr>
        <w:spacing w:line="240" w:lineRule="auto"/>
        <w:jc w:val="both"/>
        <w:rPr>
          <w:rFonts w:ascii="Arial" w:hAnsi="Arial" w:cs="Arial"/>
          <w:sz w:val="24"/>
          <w:szCs w:val="24"/>
        </w:rPr>
      </w:pPr>
      <w:r w:rsidRPr="001734FA">
        <w:rPr>
          <w:rFonts w:ascii="Arial" w:hAnsi="Arial" w:cs="Arial"/>
          <w:sz w:val="24"/>
          <w:szCs w:val="24"/>
        </w:rPr>
        <w:t>This retrospective record review utilised secondary data from the childhood national immunisation database in Hilir Perak District from 2016–2024. Variables analysed included parents’ sociodemographic profiles and vaccination characteristics. Chi-square test or Fisher’s exact test were used to identify associations between independent variables and child immunisation status (non-immunised versus incomplete immunisation). A p-value &lt;0.05 was considered statistically significant.</w:t>
      </w:r>
    </w:p>
    <w:p w14:paraId="5924FE82" w14:textId="7B1F5442" w:rsidR="009E2C13" w:rsidRPr="009E2C13" w:rsidRDefault="009E2C13" w:rsidP="001734FA">
      <w:pPr>
        <w:spacing w:line="240" w:lineRule="auto"/>
        <w:jc w:val="both"/>
        <w:rPr>
          <w:rFonts w:ascii="Arial" w:hAnsi="Arial" w:cs="Arial"/>
          <w:b/>
          <w:bCs/>
          <w:sz w:val="24"/>
          <w:szCs w:val="24"/>
        </w:rPr>
      </w:pPr>
      <w:r w:rsidRPr="009E2C13">
        <w:rPr>
          <w:rFonts w:ascii="Arial" w:hAnsi="Arial" w:cs="Arial"/>
          <w:b/>
          <w:bCs/>
          <w:sz w:val="24"/>
          <w:szCs w:val="24"/>
        </w:rPr>
        <w:t>Results</w:t>
      </w:r>
    </w:p>
    <w:p w14:paraId="0637A7B7" w14:textId="76E7FACE" w:rsidR="00C10206" w:rsidRDefault="001734FA" w:rsidP="001734FA">
      <w:pPr>
        <w:spacing w:line="240" w:lineRule="auto"/>
        <w:jc w:val="both"/>
        <w:rPr>
          <w:rFonts w:ascii="Arial" w:hAnsi="Arial" w:cs="Arial"/>
          <w:sz w:val="24"/>
          <w:szCs w:val="24"/>
        </w:rPr>
      </w:pPr>
      <w:r w:rsidRPr="001734FA">
        <w:rPr>
          <w:rFonts w:ascii="Arial" w:hAnsi="Arial" w:cs="Arial"/>
          <w:sz w:val="24"/>
          <w:szCs w:val="24"/>
        </w:rPr>
        <w:t>A total of 127 vaccine hesitancy cases were identified. The incidence rate increased from 4.41 per 1000 live births in 2017 to 26.91 per 1000 live births in 2024. Among the children, 30.7%</w:t>
      </w:r>
      <w:r w:rsidRPr="00541B43">
        <w:rPr>
          <w:rFonts w:ascii="Arial" w:hAnsi="Arial" w:cs="Arial"/>
          <w:sz w:val="24"/>
          <w:szCs w:val="24"/>
        </w:rPr>
        <w:t xml:space="preserve"> (n=39)</w:t>
      </w:r>
      <w:r w:rsidRPr="001734FA">
        <w:rPr>
          <w:rFonts w:ascii="Arial" w:hAnsi="Arial" w:cs="Arial"/>
          <w:sz w:val="24"/>
          <w:szCs w:val="24"/>
        </w:rPr>
        <w:t xml:space="preserve"> were non-immunised while 69.3%</w:t>
      </w:r>
      <w:r w:rsidRPr="00541B43">
        <w:rPr>
          <w:rFonts w:ascii="Arial" w:hAnsi="Arial" w:cs="Arial"/>
          <w:sz w:val="24"/>
          <w:szCs w:val="24"/>
        </w:rPr>
        <w:t xml:space="preserve"> (n=88)</w:t>
      </w:r>
      <w:r w:rsidRPr="001734FA">
        <w:rPr>
          <w:rFonts w:ascii="Arial" w:hAnsi="Arial" w:cs="Arial"/>
          <w:sz w:val="24"/>
          <w:szCs w:val="24"/>
        </w:rPr>
        <w:t xml:space="preserve"> had incomplete vaccination status. Vaccine safety concerns were the main reason for refusal. Most mothers</w:t>
      </w:r>
      <w:r w:rsidR="00C10206" w:rsidRPr="00541B43">
        <w:rPr>
          <w:rFonts w:ascii="Arial" w:hAnsi="Arial" w:cs="Arial"/>
          <w:sz w:val="24"/>
          <w:szCs w:val="24"/>
        </w:rPr>
        <w:t xml:space="preserve"> were housewife 64.6% (n=82) and</w:t>
      </w:r>
      <w:r w:rsidRPr="001734FA">
        <w:rPr>
          <w:rFonts w:ascii="Arial" w:hAnsi="Arial" w:cs="Arial"/>
          <w:sz w:val="24"/>
          <w:szCs w:val="24"/>
        </w:rPr>
        <w:t xml:space="preserve"> had secondary education</w:t>
      </w:r>
      <w:r w:rsidR="00C10206" w:rsidRPr="00541B43">
        <w:rPr>
          <w:rFonts w:ascii="Arial" w:hAnsi="Arial" w:cs="Arial"/>
          <w:sz w:val="24"/>
          <w:szCs w:val="24"/>
        </w:rPr>
        <w:t xml:space="preserve"> qualification</w:t>
      </w:r>
      <w:r w:rsidRPr="001734FA">
        <w:rPr>
          <w:rFonts w:ascii="Arial" w:hAnsi="Arial" w:cs="Arial"/>
          <w:sz w:val="24"/>
          <w:szCs w:val="24"/>
        </w:rPr>
        <w:t xml:space="preserve"> 61.4%</w:t>
      </w:r>
      <w:r w:rsidRPr="00541B43">
        <w:rPr>
          <w:rFonts w:ascii="Arial" w:hAnsi="Arial" w:cs="Arial"/>
          <w:sz w:val="24"/>
          <w:szCs w:val="24"/>
        </w:rPr>
        <w:t xml:space="preserve"> (n=78)</w:t>
      </w:r>
      <w:r w:rsidR="00C10206" w:rsidRPr="00541B43">
        <w:rPr>
          <w:rFonts w:ascii="Arial" w:hAnsi="Arial" w:cs="Arial"/>
          <w:sz w:val="24"/>
          <w:szCs w:val="24"/>
        </w:rPr>
        <w:t>. Significant associations were observed between maternal education (P = 0.019) and child immunisation status, with mothers having tertiary education more likely to have non-immunised children. A significant association was also observed between parental response to counselling and child immunisation status (P = 0.047).</w:t>
      </w:r>
    </w:p>
    <w:p w14:paraId="502A266C" w14:textId="37FADFED" w:rsidR="009E2C13" w:rsidRPr="009E2C13" w:rsidRDefault="009E2C13" w:rsidP="001734FA">
      <w:pPr>
        <w:spacing w:line="240" w:lineRule="auto"/>
        <w:jc w:val="both"/>
        <w:rPr>
          <w:rFonts w:ascii="Arial" w:hAnsi="Arial" w:cs="Arial"/>
          <w:b/>
          <w:bCs/>
          <w:sz w:val="24"/>
          <w:szCs w:val="24"/>
        </w:rPr>
      </w:pPr>
      <w:r w:rsidRPr="009E2C13">
        <w:rPr>
          <w:rFonts w:ascii="Arial" w:hAnsi="Arial" w:cs="Arial"/>
          <w:b/>
          <w:bCs/>
          <w:sz w:val="24"/>
          <w:szCs w:val="24"/>
        </w:rPr>
        <w:t>Conclusion</w:t>
      </w:r>
    </w:p>
    <w:p w14:paraId="4F977046" w14:textId="34C1B488" w:rsidR="001734FA" w:rsidRPr="001734FA" w:rsidRDefault="001734FA" w:rsidP="001734FA">
      <w:pPr>
        <w:spacing w:line="240" w:lineRule="auto"/>
        <w:jc w:val="both"/>
        <w:rPr>
          <w:rFonts w:ascii="Arial" w:hAnsi="Arial" w:cs="Arial"/>
          <w:sz w:val="24"/>
          <w:szCs w:val="24"/>
        </w:rPr>
      </w:pPr>
      <w:r w:rsidRPr="001734FA">
        <w:rPr>
          <w:rFonts w:ascii="Arial" w:hAnsi="Arial" w:cs="Arial"/>
          <w:sz w:val="24"/>
          <w:szCs w:val="24"/>
        </w:rPr>
        <w:t>These findings highlight the need for tailored communication strategies addressing vaccine misinformation and safety concerns, particularly among parents with higher educational backgrounds, to improve vaccine confidence and sustain immunisation coverage.</w:t>
      </w:r>
    </w:p>
    <w:p w14:paraId="5230B4ED" w14:textId="77777777" w:rsidR="00F840B0" w:rsidRDefault="00F840B0"/>
    <w:sectPr w:rsidR="00F840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35C"/>
    <w:rsid w:val="00111A17"/>
    <w:rsid w:val="001734FA"/>
    <w:rsid w:val="0021735C"/>
    <w:rsid w:val="00255E80"/>
    <w:rsid w:val="00326508"/>
    <w:rsid w:val="0034654B"/>
    <w:rsid w:val="004F42EA"/>
    <w:rsid w:val="00541B43"/>
    <w:rsid w:val="009E2C13"/>
    <w:rsid w:val="00AA6BF4"/>
    <w:rsid w:val="00BF00D8"/>
    <w:rsid w:val="00C10206"/>
    <w:rsid w:val="00D37C5D"/>
    <w:rsid w:val="00F840B0"/>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B0567"/>
  <w15:chartTrackingRefBased/>
  <w15:docId w15:val="{6F6BB8F5-2827-40B5-9B62-A90A6E665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35C"/>
  </w:style>
  <w:style w:type="paragraph" w:styleId="Heading1">
    <w:name w:val="heading 1"/>
    <w:basedOn w:val="Normal"/>
    <w:next w:val="Normal"/>
    <w:link w:val="Heading1Char"/>
    <w:uiPriority w:val="9"/>
    <w:qFormat/>
    <w:rsid w:val="002173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73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73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73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3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3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3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3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3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3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73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73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73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3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3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3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3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35C"/>
    <w:rPr>
      <w:rFonts w:eastAsiaTheme="majorEastAsia" w:cstheme="majorBidi"/>
      <w:color w:val="272727" w:themeColor="text1" w:themeTint="D8"/>
    </w:rPr>
  </w:style>
  <w:style w:type="paragraph" w:styleId="Title">
    <w:name w:val="Title"/>
    <w:basedOn w:val="Normal"/>
    <w:next w:val="Normal"/>
    <w:link w:val="TitleChar"/>
    <w:uiPriority w:val="10"/>
    <w:qFormat/>
    <w:rsid w:val="002173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3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3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3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35C"/>
    <w:pPr>
      <w:spacing w:before="160"/>
      <w:jc w:val="center"/>
    </w:pPr>
    <w:rPr>
      <w:i/>
      <w:iCs/>
      <w:color w:val="404040" w:themeColor="text1" w:themeTint="BF"/>
    </w:rPr>
  </w:style>
  <w:style w:type="character" w:customStyle="1" w:styleId="QuoteChar">
    <w:name w:val="Quote Char"/>
    <w:basedOn w:val="DefaultParagraphFont"/>
    <w:link w:val="Quote"/>
    <w:uiPriority w:val="29"/>
    <w:rsid w:val="0021735C"/>
    <w:rPr>
      <w:i/>
      <w:iCs/>
      <w:color w:val="404040" w:themeColor="text1" w:themeTint="BF"/>
    </w:rPr>
  </w:style>
  <w:style w:type="paragraph" w:styleId="ListParagraph">
    <w:name w:val="List Paragraph"/>
    <w:basedOn w:val="Normal"/>
    <w:uiPriority w:val="34"/>
    <w:qFormat/>
    <w:rsid w:val="0021735C"/>
    <w:pPr>
      <w:ind w:left="720"/>
      <w:contextualSpacing/>
    </w:pPr>
  </w:style>
  <w:style w:type="character" w:styleId="IntenseEmphasis">
    <w:name w:val="Intense Emphasis"/>
    <w:basedOn w:val="DefaultParagraphFont"/>
    <w:uiPriority w:val="21"/>
    <w:qFormat/>
    <w:rsid w:val="0021735C"/>
    <w:rPr>
      <w:i/>
      <w:iCs/>
      <w:color w:val="0F4761" w:themeColor="accent1" w:themeShade="BF"/>
    </w:rPr>
  </w:style>
  <w:style w:type="paragraph" w:styleId="IntenseQuote">
    <w:name w:val="Intense Quote"/>
    <w:basedOn w:val="Normal"/>
    <w:next w:val="Normal"/>
    <w:link w:val="IntenseQuoteChar"/>
    <w:uiPriority w:val="30"/>
    <w:qFormat/>
    <w:rsid w:val="002173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35C"/>
    <w:rPr>
      <w:i/>
      <w:iCs/>
      <w:color w:val="0F4761" w:themeColor="accent1" w:themeShade="BF"/>
    </w:rPr>
  </w:style>
  <w:style w:type="character" w:styleId="IntenseReference">
    <w:name w:val="Intense Reference"/>
    <w:basedOn w:val="DefaultParagraphFont"/>
    <w:uiPriority w:val="32"/>
    <w:qFormat/>
    <w:rsid w:val="0021735C"/>
    <w:rPr>
      <w:b/>
      <w:bCs/>
      <w:smallCaps/>
      <w:color w:val="0F4761" w:themeColor="accent1" w:themeShade="BF"/>
      <w:spacing w:val="5"/>
    </w:rPr>
  </w:style>
  <w:style w:type="character" w:styleId="Hyperlink">
    <w:name w:val="Hyperlink"/>
    <w:basedOn w:val="DefaultParagraphFont"/>
    <w:uiPriority w:val="99"/>
    <w:unhideWhenUsed/>
    <w:rsid w:val="00541B43"/>
    <w:rPr>
      <w:color w:val="467886" w:themeColor="hyperlink"/>
      <w:u w:val="single"/>
    </w:rPr>
  </w:style>
  <w:style w:type="paragraph" w:customStyle="1" w:styleId="Style1">
    <w:name w:val="Style1"/>
    <w:basedOn w:val="Normal"/>
    <w:link w:val="Style1Char"/>
    <w:qFormat/>
    <w:rsid w:val="00541B43"/>
    <w:pPr>
      <w:spacing w:line="360" w:lineRule="auto"/>
      <w:jc w:val="both"/>
    </w:pPr>
    <w:rPr>
      <w:rFonts w:cstheme="minorHAnsi"/>
      <w:b/>
      <w:bCs/>
      <w:sz w:val="24"/>
      <w:szCs w:val="24"/>
      <w:lang w:val="en-US"/>
    </w:rPr>
  </w:style>
  <w:style w:type="character" w:customStyle="1" w:styleId="Style1Char">
    <w:name w:val="Style1 Char"/>
    <w:basedOn w:val="DefaultParagraphFont"/>
    <w:link w:val="Style1"/>
    <w:rsid w:val="00541B43"/>
    <w:rPr>
      <w:rFonts w:cstheme="minorHAnsi"/>
      <w:b/>
      <w:bCs/>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zatil.zahidah@moh.gov.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370</Words>
  <Characters>2113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zatil zahidah</dc:creator>
  <cp:keywords/>
  <dc:description/>
  <cp:lastModifiedBy>David Chang Chee Tao</cp:lastModifiedBy>
  <cp:revision>2</cp:revision>
  <dcterms:created xsi:type="dcterms:W3CDTF">2026-05-18T06:55:00Z</dcterms:created>
  <dcterms:modified xsi:type="dcterms:W3CDTF">2026-05-18T06:55:00Z</dcterms:modified>
</cp:coreProperties>
</file>