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50C6" w14:textId="77777777" w:rsidR="004E1AF2" w:rsidRDefault="004E1AF2" w:rsidP="004E1AF2">
      <w:pPr>
        <w:spacing w:line="480" w:lineRule="auto"/>
        <w:jc w:val="both"/>
        <w:rPr>
          <w:rFonts w:ascii="Arial" w:hAnsi="Arial" w:cs="Arial"/>
        </w:rPr>
      </w:pPr>
      <w:r>
        <w:rPr>
          <w:rFonts w:ascii="Arial" w:hAnsi="Arial" w:cs="Arial"/>
        </w:rPr>
        <w:t xml:space="preserve">Title: </w:t>
      </w:r>
      <w:r w:rsidRPr="00CF5F4A">
        <w:rPr>
          <w:rFonts w:ascii="Arial" w:hAnsi="Arial" w:cs="Arial"/>
        </w:rPr>
        <w:t>Economic Feasibility of Transitioning from Manual to Automated Dispensing Systems (ADS) in a Malaysian State Hospital: A 10-Year Cost-Simulation Analysis</w:t>
      </w:r>
    </w:p>
    <w:p w14:paraId="0D92362E" w14:textId="60F46517" w:rsidR="006572B8" w:rsidRPr="006572B8" w:rsidRDefault="006572B8" w:rsidP="006572B8">
      <w:pPr>
        <w:spacing w:line="480" w:lineRule="auto"/>
        <w:jc w:val="both"/>
        <w:rPr>
          <w:rFonts w:ascii="Arial" w:hAnsi="Arial" w:cs="Arial"/>
        </w:rPr>
      </w:pPr>
      <w:r w:rsidRPr="006572B8">
        <w:rPr>
          <w:rFonts w:ascii="Arial" w:hAnsi="Arial" w:cs="Arial"/>
        </w:rPr>
        <w:t>Chin Hui Ng</w:t>
      </w:r>
      <w:r w:rsidRPr="006572B8">
        <w:rPr>
          <w:rFonts w:ascii="Arial" w:hAnsi="Arial" w:cs="Arial"/>
          <w:vertAlign w:val="superscript"/>
        </w:rPr>
        <w:t>1</w:t>
      </w:r>
      <w:r w:rsidRPr="006572B8">
        <w:rPr>
          <w:rFonts w:ascii="Arial" w:hAnsi="Arial" w:cs="Arial"/>
        </w:rPr>
        <w:t>, Khairul Haizad bin Yusop</w:t>
      </w:r>
      <w:r>
        <w:rPr>
          <w:rFonts w:ascii="Arial" w:hAnsi="Arial" w:cs="Arial"/>
          <w:vertAlign w:val="superscript"/>
        </w:rPr>
        <w:t>2</w:t>
      </w:r>
      <w:r w:rsidRPr="006572B8">
        <w:rPr>
          <w:rFonts w:ascii="Arial" w:hAnsi="Arial" w:cs="Arial"/>
        </w:rPr>
        <w:t>, Yoon Yeen Ng</w:t>
      </w:r>
      <w:r>
        <w:rPr>
          <w:rFonts w:ascii="Arial" w:hAnsi="Arial" w:cs="Arial"/>
          <w:vertAlign w:val="superscript"/>
        </w:rPr>
        <w:t>2</w:t>
      </w:r>
      <w:r w:rsidRPr="006572B8">
        <w:rPr>
          <w:rFonts w:ascii="Arial" w:hAnsi="Arial" w:cs="Arial"/>
        </w:rPr>
        <w:t>, Nor Aida binti Sanusi</w:t>
      </w:r>
      <w:r w:rsidRPr="006572B8">
        <w:rPr>
          <w:rFonts w:ascii="Arial" w:hAnsi="Arial" w:cs="Arial"/>
          <w:vertAlign w:val="superscript"/>
        </w:rPr>
        <w:t>1</w:t>
      </w:r>
    </w:p>
    <w:p w14:paraId="3D354A58" w14:textId="4256E8CE" w:rsidR="006572B8" w:rsidRPr="006572B8" w:rsidRDefault="006572B8" w:rsidP="006572B8">
      <w:pPr>
        <w:spacing w:line="480" w:lineRule="auto"/>
        <w:jc w:val="both"/>
        <w:rPr>
          <w:rFonts w:ascii="Arial" w:hAnsi="Arial" w:cs="Arial"/>
        </w:rPr>
      </w:pPr>
      <w:r w:rsidRPr="006572B8">
        <w:rPr>
          <w:rFonts w:ascii="Arial" w:hAnsi="Arial" w:cs="Arial"/>
          <w:vertAlign w:val="superscript"/>
        </w:rPr>
        <w:t>1</w:t>
      </w:r>
      <w:r w:rsidRPr="006572B8">
        <w:rPr>
          <w:rFonts w:ascii="Arial" w:hAnsi="Arial" w:cs="Arial"/>
        </w:rPr>
        <w:t>Pharmacy Department, Hospital Raja Permaisuri Bainun</w:t>
      </w:r>
      <w:r>
        <w:rPr>
          <w:rFonts w:ascii="Arial" w:hAnsi="Arial" w:cs="Arial"/>
        </w:rPr>
        <w:t>, Jalan Raja Ashman Shah, 30450 Ipoh, Perak</w:t>
      </w:r>
    </w:p>
    <w:p w14:paraId="3E959C83" w14:textId="079A0E50" w:rsidR="004E1AF2" w:rsidRDefault="006572B8" w:rsidP="006572B8">
      <w:pPr>
        <w:spacing w:line="480" w:lineRule="auto"/>
        <w:jc w:val="both"/>
        <w:rPr>
          <w:rFonts w:ascii="Arial" w:hAnsi="Arial" w:cs="Arial"/>
        </w:rPr>
      </w:pPr>
      <w:r>
        <w:rPr>
          <w:rFonts w:ascii="Arial" w:hAnsi="Arial" w:cs="Arial"/>
          <w:vertAlign w:val="superscript"/>
        </w:rPr>
        <w:t>2</w:t>
      </w:r>
      <w:r w:rsidRPr="006572B8">
        <w:rPr>
          <w:rFonts w:ascii="Arial" w:hAnsi="Arial" w:cs="Arial"/>
        </w:rPr>
        <w:t>Bahagian Perkhidmatan Farmasi, Jabatan Kesihatan Negeri Perak</w:t>
      </w:r>
      <w:r>
        <w:rPr>
          <w:rFonts w:ascii="Arial" w:hAnsi="Arial" w:cs="Arial"/>
        </w:rPr>
        <w:t>, Jalan Muhibbah, 31250 Tanjung Rambutan, Perak</w:t>
      </w:r>
    </w:p>
    <w:p w14:paraId="0CA22C9A" w14:textId="77777777" w:rsidR="004E1AF2" w:rsidRDefault="004E1AF2" w:rsidP="004E1AF2">
      <w:pPr>
        <w:spacing w:line="480" w:lineRule="auto"/>
        <w:jc w:val="both"/>
        <w:rPr>
          <w:rFonts w:ascii="Arial" w:hAnsi="Arial" w:cs="Arial"/>
        </w:rPr>
      </w:pPr>
      <w:r w:rsidRPr="00F351C5">
        <w:rPr>
          <w:rFonts w:ascii="Arial" w:hAnsi="Arial" w:cs="Arial"/>
        </w:rPr>
        <w:t>Background: The public healthcare system in Malaysia relies heavily on decentralized</w:t>
      </w:r>
      <w:r>
        <w:rPr>
          <w:rFonts w:ascii="Arial" w:hAnsi="Arial" w:cs="Arial"/>
        </w:rPr>
        <w:t xml:space="preserve"> </w:t>
      </w:r>
      <w:r w:rsidRPr="00F351C5">
        <w:rPr>
          <w:rFonts w:ascii="Arial" w:hAnsi="Arial" w:cs="Arial"/>
        </w:rPr>
        <w:t>outpatient pharmacy services to manage high patient volumes. While this model improves accessibility, it often lacks cost-effectiveness due to high personnel requirements. Transitioning to an Automated Dispensing System (ADS) offers a potential solution to improve productivity and reduce medication errors.</w:t>
      </w:r>
    </w:p>
    <w:p w14:paraId="4495CFB6" w14:textId="77777777" w:rsidR="004E1AF2" w:rsidRDefault="004E1AF2" w:rsidP="004E1AF2">
      <w:pPr>
        <w:spacing w:line="480" w:lineRule="auto"/>
        <w:jc w:val="both"/>
        <w:rPr>
          <w:rFonts w:ascii="Arial" w:hAnsi="Arial" w:cs="Arial"/>
        </w:rPr>
      </w:pPr>
      <w:r w:rsidRPr="00F351C5">
        <w:rPr>
          <w:rFonts w:ascii="Arial" w:hAnsi="Arial" w:cs="Arial"/>
        </w:rPr>
        <w:t>Objective: This study explores the economic feasibility of transitioning from a Manual Dispensing System (MDS) to a full-ADS model at Hospital Raja Permaisuri Bainun (HRPB), comparing the cost per prescription over a 10-year period.</w:t>
      </w:r>
    </w:p>
    <w:p w14:paraId="424E42B2" w14:textId="5B8F7B6D" w:rsidR="004E1AF2" w:rsidRDefault="004E1AF2" w:rsidP="004E1AF2">
      <w:pPr>
        <w:spacing w:line="480" w:lineRule="auto"/>
        <w:jc w:val="both"/>
        <w:rPr>
          <w:rFonts w:ascii="Arial" w:hAnsi="Arial" w:cs="Arial"/>
        </w:rPr>
      </w:pPr>
      <w:r w:rsidRPr="00F351C5">
        <w:rPr>
          <w:rFonts w:ascii="Arial" w:hAnsi="Arial" w:cs="Arial"/>
        </w:rPr>
        <w:t xml:space="preserve">Methodology: </w:t>
      </w:r>
      <w:r w:rsidR="000E017D" w:rsidRPr="000E017D">
        <w:rPr>
          <w:rFonts w:ascii="Arial" w:hAnsi="Arial" w:cs="Arial"/>
        </w:rPr>
        <w:t xml:space="preserve">To evaluate the financial impact of transitioning to automation, a comparative cost simulation from a healthcare payer perspective using a bottom-up, activity-based costing approach. </w:t>
      </w:r>
      <w:r w:rsidR="000E017D">
        <w:rPr>
          <w:rFonts w:ascii="Arial" w:hAnsi="Arial" w:cs="Arial"/>
        </w:rPr>
        <w:t>F</w:t>
      </w:r>
      <w:r w:rsidR="000E017D" w:rsidRPr="000E017D">
        <w:rPr>
          <w:rFonts w:ascii="Arial" w:hAnsi="Arial" w:cs="Arial"/>
        </w:rPr>
        <w:t>irst</w:t>
      </w:r>
      <w:r w:rsidR="000E017D">
        <w:rPr>
          <w:rFonts w:ascii="Arial" w:hAnsi="Arial" w:cs="Arial"/>
        </w:rPr>
        <w:t xml:space="preserve">, </w:t>
      </w:r>
      <w:r w:rsidR="000E017D" w:rsidRPr="000E017D">
        <w:rPr>
          <w:rFonts w:ascii="Arial" w:hAnsi="Arial" w:cs="Arial"/>
        </w:rPr>
        <w:t>a baseline</w:t>
      </w:r>
      <w:r w:rsidR="000E017D">
        <w:rPr>
          <w:rFonts w:ascii="Arial" w:hAnsi="Arial" w:cs="Arial"/>
        </w:rPr>
        <w:t xml:space="preserve"> was established</w:t>
      </w:r>
      <w:r w:rsidR="000E017D" w:rsidRPr="000E017D">
        <w:rPr>
          <w:rFonts w:ascii="Arial" w:hAnsi="Arial" w:cs="Arial"/>
        </w:rPr>
        <w:t xml:space="preserve"> by retrospectively collecting data on staff, prescriptions, and inventory items from January to September 2023 across all participating facilities. This baseline incorporated actual personnel salaries based on the Public Services Commission of Malaysia scales, alongside logistics costs for remote parcel deliveries calculated at RM0.80/km per the Accountant General’s Department of Malaysia guidelines. </w:t>
      </w:r>
      <w:r w:rsidR="000E017D">
        <w:rPr>
          <w:rFonts w:ascii="Arial" w:hAnsi="Arial" w:cs="Arial"/>
        </w:rPr>
        <w:t>Then, t</w:t>
      </w:r>
      <w:r w:rsidR="000E017D" w:rsidRPr="000E017D">
        <w:rPr>
          <w:rFonts w:ascii="Arial" w:hAnsi="Arial" w:cs="Arial"/>
        </w:rPr>
        <w:t xml:space="preserve">hese manual workflows against a simulated Automated Dispensing System (ADS) model featuring advanced robotic units—specifically the Galbot G1 and Unitree G1—alongside AI analytical support. The financial blueprint for the ADS model factors in capital expenditure for robotics and facility renovations, assuming a hardware replacement cycle of </w:t>
      </w:r>
      <w:r w:rsidR="000E017D" w:rsidRPr="000E017D">
        <w:rPr>
          <w:rFonts w:ascii="Arial" w:hAnsi="Arial" w:cs="Arial"/>
        </w:rPr>
        <w:lastRenderedPageBreak/>
        <w:t xml:space="preserve">every five years. Furthermore, the pharmacy management software and system integration costs </w:t>
      </w:r>
      <w:r w:rsidR="000E017D">
        <w:rPr>
          <w:rFonts w:ascii="Arial" w:hAnsi="Arial" w:cs="Arial"/>
        </w:rPr>
        <w:t xml:space="preserve">was estimated </w:t>
      </w:r>
      <w:r w:rsidR="000E017D" w:rsidRPr="000E017D">
        <w:rPr>
          <w:rFonts w:ascii="Arial" w:hAnsi="Arial" w:cs="Arial"/>
        </w:rPr>
        <w:t xml:space="preserve">using Ministry of Health frameworks to ensure seamless connectivity with existing hospital clinical screening and inventory modules. To maintain a conservative budget, </w:t>
      </w:r>
      <w:r w:rsidR="000E017D">
        <w:rPr>
          <w:rFonts w:ascii="Arial" w:hAnsi="Arial" w:cs="Arial"/>
        </w:rPr>
        <w:t xml:space="preserve">an </w:t>
      </w:r>
      <w:r w:rsidR="000E017D" w:rsidRPr="000E017D">
        <w:rPr>
          <w:rFonts w:ascii="Arial" w:hAnsi="Arial" w:cs="Arial"/>
        </w:rPr>
        <w:t>upper-tier pricing for Hospital Management System development and allocated an annual maintenance fee of 10% of the total software cost for ongoing bug fixes and upgrades.</w:t>
      </w:r>
    </w:p>
    <w:p w14:paraId="4F618EBD" w14:textId="40DEC2A2" w:rsidR="004E1AF2" w:rsidRDefault="004E1AF2" w:rsidP="004E1AF2">
      <w:pPr>
        <w:spacing w:line="480" w:lineRule="auto"/>
        <w:jc w:val="both"/>
        <w:rPr>
          <w:rFonts w:ascii="Arial" w:hAnsi="Arial" w:cs="Arial"/>
        </w:rPr>
      </w:pPr>
      <w:r w:rsidRPr="00F351C5">
        <w:rPr>
          <w:rFonts w:ascii="Arial" w:hAnsi="Arial" w:cs="Arial"/>
        </w:rPr>
        <w:t xml:space="preserve">Results: </w:t>
      </w:r>
      <w:r w:rsidR="00372C24" w:rsidRPr="00372C24">
        <w:rPr>
          <w:rFonts w:ascii="Arial" w:hAnsi="Arial" w:cs="Arial"/>
        </w:rPr>
        <w:t>Implementing the ADS model reduces staffing substantially, from 95 to 36 full-time personnel. Over a 10-year horizon the total costs for the MDS and the ADS are broadly comparable—approximately RM78.75 million for MDS versus RM82.28 million for ADS—although ADS requires a large upfront investment, including RM40.31 million for robotic units and RM5.0 million for facility renovations. Despite these initial capital outlays, the two systems operate at parity on a per-prescription basis, averaging about RM0.50 per script across an estimated 7.1 million prescriptions. Sensitivity analysis highlights that the model is highly sensitive to robot hardware prices: a 50% increase in humanoid robot costs would raise the cost per prescription to about RM12.98. Conversely, the model is relatively robust to modest changes in staffing: increasing the ADS workforce from 36 to 45 personnel raises operational costs but keeps them well below three times</w:t>
      </w:r>
      <w:r w:rsidR="00372C24">
        <w:rPr>
          <w:rFonts w:ascii="Arial" w:hAnsi="Arial" w:cs="Arial"/>
        </w:rPr>
        <w:t xml:space="preserve"> from</w:t>
      </w:r>
      <w:r w:rsidR="00372C24" w:rsidRPr="00372C24">
        <w:rPr>
          <w:rFonts w:ascii="Arial" w:hAnsi="Arial" w:cs="Arial"/>
        </w:rPr>
        <w:t xml:space="preserve"> the baseline.</w:t>
      </w:r>
    </w:p>
    <w:p w14:paraId="6CADCDF6" w14:textId="51C3B188" w:rsidR="004E1AF2" w:rsidRDefault="004E1AF2" w:rsidP="004E1AF2">
      <w:pPr>
        <w:spacing w:line="480" w:lineRule="auto"/>
        <w:jc w:val="both"/>
        <w:rPr>
          <w:rFonts w:ascii="Arial" w:hAnsi="Arial" w:cs="Arial"/>
        </w:rPr>
      </w:pPr>
      <w:r w:rsidRPr="00F351C5">
        <w:rPr>
          <w:rFonts w:ascii="Arial" w:hAnsi="Arial" w:cs="Arial"/>
        </w:rPr>
        <w:t xml:space="preserve">Conclusion: The ADS model is economically feasible and offers superior operational value. By automating repetitive technical tasks, the system is projected to reduce </w:t>
      </w:r>
      <w:r w:rsidR="00372C24">
        <w:rPr>
          <w:rFonts w:ascii="Arial" w:hAnsi="Arial" w:cs="Arial"/>
        </w:rPr>
        <w:t>manpower a</w:t>
      </w:r>
      <w:r w:rsidRPr="00F351C5">
        <w:rPr>
          <w:rFonts w:ascii="Arial" w:hAnsi="Arial" w:cs="Arial"/>
        </w:rPr>
        <w:t>nd facilitate the redeployment of pharmacists to critical front-line clinical care and patient counselling.</w:t>
      </w:r>
    </w:p>
    <w:p w14:paraId="62C34662" w14:textId="3FD49597" w:rsidR="004E1AF2" w:rsidRDefault="004E1AF2" w:rsidP="004E1AF2">
      <w:pPr>
        <w:spacing w:line="480" w:lineRule="auto"/>
        <w:jc w:val="both"/>
        <w:rPr>
          <w:rFonts w:ascii="Arial" w:hAnsi="Arial" w:cs="Arial"/>
        </w:rPr>
      </w:pPr>
      <w:r>
        <w:rPr>
          <w:rFonts w:ascii="Arial" w:hAnsi="Arial" w:cs="Arial"/>
        </w:rPr>
        <w:t xml:space="preserve">Word count= </w:t>
      </w:r>
      <w:r w:rsidR="00372C24">
        <w:rPr>
          <w:rFonts w:ascii="Arial" w:hAnsi="Arial" w:cs="Arial"/>
        </w:rPr>
        <w:t>454</w:t>
      </w:r>
      <w:r>
        <w:rPr>
          <w:rFonts w:ascii="Arial" w:hAnsi="Arial" w:cs="Arial"/>
        </w:rPr>
        <w:t xml:space="preserve"> words</w:t>
      </w:r>
    </w:p>
    <w:p w14:paraId="66AF2077" w14:textId="77777777" w:rsidR="00897F47" w:rsidRDefault="00897F47"/>
    <w:sectPr w:rsidR="00897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AF2"/>
    <w:rsid w:val="000E017D"/>
    <w:rsid w:val="0013446B"/>
    <w:rsid w:val="002F26C6"/>
    <w:rsid w:val="00372C24"/>
    <w:rsid w:val="003D1B43"/>
    <w:rsid w:val="004E1AF2"/>
    <w:rsid w:val="00553EBC"/>
    <w:rsid w:val="006572B8"/>
    <w:rsid w:val="006D5618"/>
    <w:rsid w:val="00705886"/>
    <w:rsid w:val="00753490"/>
    <w:rsid w:val="007708B2"/>
    <w:rsid w:val="00897F47"/>
    <w:rsid w:val="00E61F3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23FC"/>
  <w15:chartTrackingRefBased/>
  <w15:docId w15:val="{8C7C7C94-76DC-4AF8-AC94-01E6B6D9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F2"/>
    <w:pPr>
      <w:spacing w:line="259" w:lineRule="auto"/>
    </w:pPr>
    <w:rPr>
      <w:rFonts w:ascii="Calibri" w:eastAsia="SimSun" w:hAnsi="Calibri" w:cs="Calibri"/>
      <w:kern w:val="0"/>
      <w:sz w:val="22"/>
      <w:szCs w:val="22"/>
      <w14:ligatures w14:val="none"/>
    </w:rPr>
  </w:style>
  <w:style w:type="paragraph" w:styleId="Heading1">
    <w:name w:val="heading 1"/>
    <w:basedOn w:val="Normal"/>
    <w:next w:val="Normal"/>
    <w:link w:val="Heading1Char"/>
    <w:uiPriority w:val="9"/>
    <w:qFormat/>
    <w:rsid w:val="004E1A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E1A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E1A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1A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E1AF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E1AF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1AF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1AF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1AF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AF2"/>
    <w:rPr>
      <w:rFonts w:eastAsiaTheme="majorEastAsia" w:cstheme="majorBidi"/>
      <w:color w:val="272727" w:themeColor="text1" w:themeTint="D8"/>
    </w:rPr>
  </w:style>
  <w:style w:type="paragraph" w:styleId="Title">
    <w:name w:val="Title"/>
    <w:basedOn w:val="Normal"/>
    <w:next w:val="Normal"/>
    <w:link w:val="TitleChar"/>
    <w:uiPriority w:val="10"/>
    <w:qFormat/>
    <w:rsid w:val="004E1AF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1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AF2"/>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1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AF2"/>
    <w:pPr>
      <w:spacing w:before="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1AF2"/>
    <w:rPr>
      <w:i/>
      <w:iCs/>
      <w:color w:val="404040" w:themeColor="text1" w:themeTint="BF"/>
    </w:rPr>
  </w:style>
  <w:style w:type="paragraph" w:styleId="ListParagraph">
    <w:name w:val="List Paragraph"/>
    <w:basedOn w:val="Normal"/>
    <w:uiPriority w:val="34"/>
    <w:qFormat/>
    <w:rsid w:val="004E1AF2"/>
    <w:pPr>
      <w:spacing w:line="278" w:lineRule="auto"/>
      <w:ind w:left="720"/>
      <w:contextualSpacing/>
    </w:pPr>
    <w:rPr>
      <w:rFonts w:asciiTheme="minorHAnsi" w:eastAsiaTheme="minorEastAsia" w:hAnsiTheme="minorHAnsi" w:cstheme="minorBidi"/>
      <w:kern w:val="2"/>
      <w:sz w:val="24"/>
      <w:szCs w:val="24"/>
      <w14:ligatures w14:val="standardContextual"/>
    </w:rPr>
  </w:style>
  <w:style w:type="character" w:styleId="IntenseEmphasis">
    <w:name w:val="Intense Emphasis"/>
    <w:basedOn w:val="DefaultParagraphFont"/>
    <w:uiPriority w:val="21"/>
    <w:qFormat/>
    <w:rsid w:val="004E1AF2"/>
    <w:rPr>
      <w:i/>
      <w:iCs/>
      <w:color w:val="0F4761" w:themeColor="accent1" w:themeShade="BF"/>
    </w:rPr>
  </w:style>
  <w:style w:type="paragraph" w:styleId="IntenseQuote">
    <w:name w:val="Intense Quote"/>
    <w:basedOn w:val="Normal"/>
    <w:next w:val="Normal"/>
    <w:link w:val="IntenseQuoteChar"/>
    <w:uiPriority w:val="30"/>
    <w:qFormat/>
    <w:rsid w:val="004E1A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1AF2"/>
    <w:rPr>
      <w:i/>
      <w:iCs/>
      <w:color w:val="0F4761" w:themeColor="accent1" w:themeShade="BF"/>
    </w:rPr>
  </w:style>
  <w:style w:type="character" w:styleId="IntenseReference">
    <w:name w:val="Intense Reference"/>
    <w:basedOn w:val="DefaultParagraphFont"/>
    <w:uiPriority w:val="32"/>
    <w:qFormat/>
    <w:rsid w:val="004E1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alulalijiang</dc:creator>
  <cp:keywords/>
  <dc:description/>
  <cp:lastModifiedBy>alulalijiang</cp:lastModifiedBy>
  <cp:revision>3</cp:revision>
  <dcterms:created xsi:type="dcterms:W3CDTF">2026-05-14T15:01:00Z</dcterms:created>
  <dcterms:modified xsi:type="dcterms:W3CDTF">2026-06-30T12:54:00Z</dcterms:modified>
</cp:coreProperties>
</file>