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D88F3" w14:textId="735F86C4" w:rsidR="00895A40" w:rsidRPr="00B85D05" w:rsidRDefault="00895A40" w:rsidP="00B85D05">
      <w:pPr>
        <w:spacing w:line="276" w:lineRule="auto"/>
        <w:jc w:val="both"/>
        <w:rPr>
          <w:rFonts w:ascii="Arial" w:hAnsi="Arial" w:cs="Arial"/>
        </w:rPr>
      </w:pPr>
      <w:r w:rsidRPr="00B85D05">
        <w:rPr>
          <w:rFonts w:ascii="Arial" w:hAnsi="Arial" w:cs="Arial"/>
        </w:rPr>
        <w:t>Title: Clinical Audit on Proton Pump Inhibitor (PPI) Therapy: Evaluation of Prescribing Trends and Appropriateness of Use in Adults at Hospital Raja Permaisuri Bainun</w:t>
      </w:r>
      <w:r w:rsidR="003518C7">
        <w:rPr>
          <w:rFonts w:ascii="Arial" w:hAnsi="Arial" w:cs="Arial"/>
        </w:rPr>
        <w:t xml:space="preserve"> (HRPB)</w:t>
      </w:r>
      <w:r w:rsidRPr="00B85D05">
        <w:rPr>
          <w:rFonts w:ascii="Arial" w:hAnsi="Arial" w:cs="Arial"/>
        </w:rPr>
        <w:t>, Ipoh.</w:t>
      </w:r>
    </w:p>
    <w:p w14:paraId="3FABC7EA" w14:textId="00DAD685" w:rsidR="00895A40" w:rsidRPr="00B85D05" w:rsidRDefault="0038235D" w:rsidP="00B85D05">
      <w:pPr>
        <w:spacing w:line="276" w:lineRule="auto"/>
        <w:jc w:val="both"/>
        <w:rPr>
          <w:rFonts w:ascii="Arial" w:hAnsi="Arial" w:cs="Arial"/>
        </w:rPr>
      </w:pPr>
      <w:r w:rsidRPr="00B85D05">
        <w:rPr>
          <w:rFonts w:ascii="Arial" w:hAnsi="Arial" w:cs="Arial"/>
        </w:rPr>
        <w:t>Ng Chin Hui</w:t>
      </w:r>
      <w:r w:rsidR="00B85D05" w:rsidRPr="00B85D05">
        <w:rPr>
          <w:rFonts w:ascii="Arial" w:hAnsi="Arial" w:cs="Arial"/>
          <w:vertAlign w:val="superscript"/>
        </w:rPr>
        <w:t>1</w:t>
      </w:r>
      <w:r w:rsidRPr="00B85D05">
        <w:rPr>
          <w:rFonts w:ascii="Arial" w:hAnsi="Arial" w:cs="Arial"/>
        </w:rPr>
        <w:t xml:space="preserve">, </w:t>
      </w:r>
      <w:r w:rsidR="00B85D05" w:rsidRPr="00B85D05">
        <w:rPr>
          <w:rFonts w:ascii="Arial" w:hAnsi="Arial" w:cs="Arial"/>
        </w:rPr>
        <w:t>Felicia Cheong Wei En</w:t>
      </w:r>
      <w:r w:rsidR="00B85D05" w:rsidRPr="00B85D05">
        <w:rPr>
          <w:rFonts w:ascii="Arial" w:hAnsi="Arial" w:cs="Arial"/>
          <w:vertAlign w:val="superscript"/>
        </w:rPr>
        <w:t>1</w:t>
      </w:r>
      <w:r w:rsidRPr="00B85D05">
        <w:rPr>
          <w:rFonts w:ascii="Arial" w:hAnsi="Arial" w:cs="Arial"/>
        </w:rPr>
        <w:t xml:space="preserve">, </w:t>
      </w:r>
      <w:r w:rsidR="00B85D05" w:rsidRPr="00B85D05">
        <w:rPr>
          <w:rFonts w:ascii="Arial" w:hAnsi="Arial" w:cs="Arial"/>
        </w:rPr>
        <w:t>Lim Shan Rou</w:t>
      </w:r>
      <w:r w:rsidR="00B85D05" w:rsidRPr="00B85D05">
        <w:rPr>
          <w:rFonts w:ascii="Arial" w:hAnsi="Arial" w:cs="Arial"/>
          <w:vertAlign w:val="superscript"/>
        </w:rPr>
        <w:t>1</w:t>
      </w:r>
      <w:r w:rsidR="006D2599" w:rsidRPr="00B85D05">
        <w:rPr>
          <w:rFonts w:ascii="Arial" w:hAnsi="Arial" w:cs="Arial"/>
        </w:rPr>
        <w:t>, Khok Yi Ying</w:t>
      </w:r>
      <w:r w:rsidR="00B85D05" w:rsidRPr="00B85D05">
        <w:rPr>
          <w:rFonts w:ascii="Arial" w:hAnsi="Arial" w:cs="Arial"/>
          <w:vertAlign w:val="superscript"/>
        </w:rPr>
        <w:t>1</w:t>
      </w:r>
    </w:p>
    <w:p w14:paraId="03B8DB75" w14:textId="77777777" w:rsidR="00B85D05" w:rsidRPr="00B85D05" w:rsidRDefault="00B85D05" w:rsidP="00B85D05">
      <w:pPr>
        <w:spacing w:line="276" w:lineRule="auto"/>
        <w:jc w:val="both"/>
        <w:rPr>
          <w:rFonts w:ascii="Arial" w:hAnsi="Arial" w:cs="Arial"/>
        </w:rPr>
      </w:pPr>
      <w:r w:rsidRPr="00B85D05">
        <w:rPr>
          <w:rFonts w:ascii="Arial" w:hAnsi="Arial" w:cs="Arial"/>
          <w:vertAlign w:val="superscript"/>
        </w:rPr>
        <w:t>1</w:t>
      </w:r>
      <w:r w:rsidRPr="00B85D05">
        <w:rPr>
          <w:rFonts w:ascii="Arial" w:hAnsi="Arial" w:cs="Arial"/>
        </w:rPr>
        <w:t>Pharmacy Department, Hospital Raja Permaisuri Bainun, Jalan Raja Ashman Shah, 30450 Ipoh, Perak</w:t>
      </w:r>
    </w:p>
    <w:p w14:paraId="10B7DD24" w14:textId="7C17C68C" w:rsidR="00AE6679" w:rsidRPr="00AE6679" w:rsidRDefault="00AE6679" w:rsidP="00AE6679">
      <w:pPr>
        <w:spacing w:line="276" w:lineRule="auto"/>
        <w:jc w:val="both"/>
        <w:rPr>
          <w:rFonts w:ascii="Arial" w:hAnsi="Arial" w:cs="Arial"/>
        </w:rPr>
      </w:pPr>
      <w:r w:rsidRPr="00AE6679">
        <w:rPr>
          <w:rFonts w:ascii="Arial" w:hAnsi="Arial" w:cs="Arial"/>
        </w:rPr>
        <w:t xml:space="preserve">Background: Long-term proton pump inhibitor (PPI) therapy carries well-recognised risks and cost implications when used without a clear indication. At Hospital Raja Permaisuri Bainun (HRPB) we had not quantified how many patients remained on chronic PPI therapy without an evidence-based reason. </w:t>
      </w:r>
      <w:r>
        <w:rPr>
          <w:rFonts w:ascii="Arial" w:hAnsi="Arial" w:cs="Arial"/>
        </w:rPr>
        <w:t>T</w:t>
      </w:r>
      <w:r w:rsidRPr="00AE6679">
        <w:rPr>
          <w:rFonts w:ascii="Arial" w:hAnsi="Arial" w:cs="Arial"/>
        </w:rPr>
        <w:t>his audit provides the baseline data needed to implement strategic deprescribing efforts</w:t>
      </w:r>
      <w:r>
        <w:rPr>
          <w:rFonts w:ascii="Arial" w:hAnsi="Arial" w:cs="Arial"/>
        </w:rPr>
        <w:t xml:space="preserve"> </w:t>
      </w:r>
      <w:r w:rsidRPr="00AE6679">
        <w:rPr>
          <w:rFonts w:ascii="Arial" w:hAnsi="Arial" w:cs="Arial"/>
        </w:rPr>
        <w:t>upon the decisions of the HRPB Drug and Therapeutics Committee.</w:t>
      </w:r>
    </w:p>
    <w:p w14:paraId="5FF2EB77" w14:textId="77777777" w:rsidR="00AE6679" w:rsidRPr="00AE6679" w:rsidRDefault="00AE6679" w:rsidP="00AE6679">
      <w:pPr>
        <w:spacing w:line="276" w:lineRule="auto"/>
        <w:jc w:val="both"/>
        <w:rPr>
          <w:rFonts w:ascii="Arial" w:hAnsi="Arial" w:cs="Arial"/>
        </w:rPr>
      </w:pPr>
      <w:r w:rsidRPr="00AE6679">
        <w:rPr>
          <w:rFonts w:ascii="Arial" w:hAnsi="Arial" w:cs="Arial"/>
        </w:rPr>
        <w:t>Aim: To establish the prevalence and prescribing patterns of long-term PPI use in adults at HRPB and to identify patients maintained on PPIs without a documented antiplatelet indication.</w:t>
      </w:r>
    </w:p>
    <w:p w14:paraId="08E971DD" w14:textId="0DF92EE0" w:rsidR="00AE6679" w:rsidRPr="00AE6679" w:rsidRDefault="00AE6679" w:rsidP="00AE6679">
      <w:pPr>
        <w:spacing w:line="276" w:lineRule="auto"/>
        <w:jc w:val="both"/>
        <w:rPr>
          <w:rFonts w:ascii="Arial" w:hAnsi="Arial" w:cs="Arial"/>
        </w:rPr>
      </w:pPr>
      <w:r w:rsidRPr="00AE6679">
        <w:rPr>
          <w:rFonts w:ascii="Arial" w:hAnsi="Arial" w:cs="Arial"/>
        </w:rPr>
        <w:t xml:space="preserve">Methods: We conducted a retrospective audit using pharmacy dispensing records (PhIS) and the Hospital Information System (HIS). Adults dispensed pantoprazole, lansoprazole or dexlansoprazole between 1 January–31 December 2024 and 1 March–31 October 2025 were included. Long-term use was defined as continuous PPI receipt for more than 180 days. Patients who started therapy in 2024 and continued into 2025 were captured. We collected MRN, prescription orders (duplicates removed for patient counts), concurrent aspirin/Cardiprin use, PPI agent and dose, and the prescribing clinic. Continuous-user status was verified by cross-checking PhIS and HIS. </w:t>
      </w:r>
    </w:p>
    <w:p w14:paraId="71435136" w14:textId="77777777" w:rsidR="00AE6679" w:rsidRPr="00AE6679" w:rsidRDefault="00AE6679" w:rsidP="00AE6679">
      <w:pPr>
        <w:spacing w:line="276" w:lineRule="auto"/>
        <w:jc w:val="both"/>
        <w:rPr>
          <w:rFonts w:ascii="Arial" w:hAnsi="Arial" w:cs="Arial"/>
        </w:rPr>
      </w:pPr>
      <w:r w:rsidRPr="00AE6679">
        <w:rPr>
          <w:rFonts w:ascii="Arial" w:hAnsi="Arial" w:cs="Arial"/>
        </w:rPr>
        <w:t>Results: A total of 8,142 patients received PPI therapy during the audit period (10,259 total PPI orders). Pantoprazole made up most prescriptions. Long-term aspirin/Cardiprin co-prescription was recorded in 56.8% (n = 4,621). The remaining 43.2% (n = 3,521) were on PPIs without documented antiplatelet therapy. Most prescriptions came from the Medical Specialist Clinic (n = 2,940; 41%), followed by Cardiology (n = 2,143; 30%), Surgery (n = 519; 7%) and Nephrology (n = 493; 6.9%). The common maintenance dose was 40 mg once daily. Several outpatient prescriptions were written as “PRN”.</w:t>
      </w:r>
    </w:p>
    <w:p w14:paraId="22DBBE8E" w14:textId="37CD584C" w:rsidR="00AE6679" w:rsidRPr="00AE6679" w:rsidRDefault="00AE6679" w:rsidP="00AE6679">
      <w:pPr>
        <w:spacing w:line="276" w:lineRule="auto"/>
        <w:jc w:val="both"/>
        <w:rPr>
          <w:rFonts w:ascii="Arial" w:hAnsi="Arial" w:cs="Arial"/>
        </w:rPr>
      </w:pPr>
      <w:r w:rsidRPr="00AE6679">
        <w:rPr>
          <w:rFonts w:ascii="Arial" w:hAnsi="Arial" w:cs="Arial"/>
        </w:rPr>
        <w:t>Discussion: PPIs are commonly used at HRPB, largely for gastroprotection among patients on aspirin. However, a substantial proportion of long-term users lack a documented antiplatelet indication, suggesting potential overprescribing or continuation without review. The high prescribing volume from Medical Specialist and Cardiology clinics highlights where deprescribing efforts should start. The use of “PRN” for outpatient PPI prescriptions may indicate prescribing practices that facilitate ongoing, unreviewed use. Limitations include reliance on documented records; some valid indications (</w:t>
      </w:r>
      <w:r>
        <w:rPr>
          <w:rFonts w:ascii="Arial" w:hAnsi="Arial" w:cs="Arial"/>
        </w:rPr>
        <w:t>e.g. long-term NSAID or chronic corticosteroid therapy</w:t>
      </w:r>
      <w:r w:rsidRPr="00AE6679">
        <w:rPr>
          <w:rFonts w:ascii="Arial" w:hAnsi="Arial" w:cs="Arial"/>
        </w:rPr>
        <w:t xml:space="preserve">) might not </w:t>
      </w:r>
      <w:r w:rsidRPr="00AE6679">
        <w:rPr>
          <w:rFonts w:ascii="Arial" w:hAnsi="Arial" w:cs="Arial"/>
        </w:rPr>
        <w:lastRenderedPageBreak/>
        <w:t>have been captured. This audit focused on antiplatelet co-prescription and did not apply a wider set of explicit appropriateness criteria.</w:t>
      </w:r>
    </w:p>
    <w:p w14:paraId="410F5190" w14:textId="1F1AE3B8" w:rsidR="00B85D05" w:rsidRPr="00B85D05" w:rsidRDefault="00AE6679" w:rsidP="00AE6679">
      <w:pPr>
        <w:spacing w:line="276" w:lineRule="auto"/>
        <w:jc w:val="both"/>
        <w:rPr>
          <w:rFonts w:ascii="Arial" w:hAnsi="Arial" w:cs="Arial"/>
        </w:rPr>
      </w:pPr>
      <w:r w:rsidRPr="00AE6679">
        <w:rPr>
          <w:rFonts w:ascii="Arial" w:hAnsi="Arial" w:cs="Arial"/>
        </w:rPr>
        <w:t>Recommendations: Introduce routine medication reviews for patients on PPI &gt;6 months, prioritise Medical Specialist and Cardiology clinics, implement a local deprescribing protocol with clear stop and step-down guidance, require indication and intended duration on PPI prescriptions, remove inappropriate “PRN” orders, and provide targeted education to prescribers and pharmacists. Re-audit 12 months after interventions and include explicit appropriateness criteria, clinical outcomes and cost impact.</w:t>
      </w:r>
    </w:p>
    <w:p w14:paraId="21D46E5B" w14:textId="5A30175F" w:rsidR="00B85D05" w:rsidRPr="00B85D05" w:rsidRDefault="00B85D05" w:rsidP="00B85D05">
      <w:pPr>
        <w:spacing w:line="276" w:lineRule="auto"/>
        <w:jc w:val="both"/>
        <w:rPr>
          <w:rFonts w:ascii="Arial" w:hAnsi="Arial" w:cs="Arial"/>
        </w:rPr>
      </w:pPr>
      <w:r>
        <w:rPr>
          <w:rFonts w:ascii="Arial" w:hAnsi="Arial" w:cs="Arial"/>
        </w:rPr>
        <w:t xml:space="preserve">Word count: </w:t>
      </w:r>
      <w:r w:rsidR="00AE6679">
        <w:rPr>
          <w:rFonts w:ascii="Arial" w:hAnsi="Arial" w:cs="Arial"/>
        </w:rPr>
        <w:t>441 words</w:t>
      </w:r>
    </w:p>
    <w:sectPr w:rsidR="00B85D05" w:rsidRPr="00B85D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A40"/>
    <w:rsid w:val="002F26C6"/>
    <w:rsid w:val="003518C7"/>
    <w:rsid w:val="0038235D"/>
    <w:rsid w:val="00510733"/>
    <w:rsid w:val="00641C45"/>
    <w:rsid w:val="006D2599"/>
    <w:rsid w:val="00753490"/>
    <w:rsid w:val="00895A40"/>
    <w:rsid w:val="00897F47"/>
    <w:rsid w:val="00972013"/>
    <w:rsid w:val="00AE3BE0"/>
    <w:rsid w:val="00AE6679"/>
    <w:rsid w:val="00B85D05"/>
    <w:rsid w:val="00E61F3A"/>
    <w:rsid w:val="00E657E4"/>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B9578"/>
  <w15:chartTrackingRefBased/>
  <w15:docId w15:val="{2D389162-1360-4B39-97F5-52A0C58E7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5A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5A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5A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5A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5A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5A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5A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5A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5A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5A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5A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5A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5A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5A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5A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5A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5A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5A40"/>
    <w:rPr>
      <w:rFonts w:eastAsiaTheme="majorEastAsia" w:cstheme="majorBidi"/>
      <w:color w:val="272727" w:themeColor="text1" w:themeTint="D8"/>
    </w:rPr>
  </w:style>
  <w:style w:type="paragraph" w:styleId="Title">
    <w:name w:val="Title"/>
    <w:basedOn w:val="Normal"/>
    <w:next w:val="Normal"/>
    <w:link w:val="TitleChar"/>
    <w:uiPriority w:val="10"/>
    <w:qFormat/>
    <w:rsid w:val="00895A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5A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5A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5A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5A40"/>
    <w:pPr>
      <w:spacing w:before="160"/>
      <w:jc w:val="center"/>
    </w:pPr>
    <w:rPr>
      <w:i/>
      <w:iCs/>
      <w:color w:val="404040" w:themeColor="text1" w:themeTint="BF"/>
    </w:rPr>
  </w:style>
  <w:style w:type="character" w:customStyle="1" w:styleId="QuoteChar">
    <w:name w:val="Quote Char"/>
    <w:basedOn w:val="DefaultParagraphFont"/>
    <w:link w:val="Quote"/>
    <w:uiPriority w:val="29"/>
    <w:rsid w:val="00895A40"/>
    <w:rPr>
      <w:i/>
      <w:iCs/>
      <w:color w:val="404040" w:themeColor="text1" w:themeTint="BF"/>
    </w:rPr>
  </w:style>
  <w:style w:type="paragraph" w:styleId="ListParagraph">
    <w:name w:val="List Paragraph"/>
    <w:basedOn w:val="Normal"/>
    <w:uiPriority w:val="34"/>
    <w:qFormat/>
    <w:rsid w:val="00895A40"/>
    <w:pPr>
      <w:ind w:left="720"/>
      <w:contextualSpacing/>
    </w:pPr>
  </w:style>
  <w:style w:type="character" w:styleId="IntenseEmphasis">
    <w:name w:val="Intense Emphasis"/>
    <w:basedOn w:val="DefaultParagraphFont"/>
    <w:uiPriority w:val="21"/>
    <w:qFormat/>
    <w:rsid w:val="00895A40"/>
    <w:rPr>
      <w:i/>
      <w:iCs/>
      <w:color w:val="0F4761" w:themeColor="accent1" w:themeShade="BF"/>
    </w:rPr>
  </w:style>
  <w:style w:type="paragraph" w:styleId="IntenseQuote">
    <w:name w:val="Intense Quote"/>
    <w:basedOn w:val="Normal"/>
    <w:next w:val="Normal"/>
    <w:link w:val="IntenseQuoteChar"/>
    <w:uiPriority w:val="30"/>
    <w:qFormat/>
    <w:rsid w:val="00895A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5A40"/>
    <w:rPr>
      <w:i/>
      <w:iCs/>
      <w:color w:val="0F4761" w:themeColor="accent1" w:themeShade="BF"/>
    </w:rPr>
  </w:style>
  <w:style w:type="character" w:styleId="IntenseReference">
    <w:name w:val="Intense Reference"/>
    <w:basedOn w:val="DefaultParagraphFont"/>
    <w:uiPriority w:val="32"/>
    <w:qFormat/>
    <w:rsid w:val="00895A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TotalTime>
  <Pages>2</Pages>
  <Words>529</Words>
  <Characters>3019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alulalijiang</dc:creator>
  <cp:keywords/>
  <dc:description/>
  <cp:lastModifiedBy>alulalijiang</cp:lastModifiedBy>
  <cp:revision>6</cp:revision>
  <dcterms:created xsi:type="dcterms:W3CDTF">2026-04-28T12:23:00Z</dcterms:created>
  <dcterms:modified xsi:type="dcterms:W3CDTF">2026-06-29T12:58:00Z</dcterms:modified>
</cp:coreProperties>
</file>