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43CD5" w14:textId="30B7513C" w:rsidR="002A393D" w:rsidRDefault="007E4932" w:rsidP="00C87854">
      <w:pPr>
        <w:jc w:val="center"/>
        <w:rPr>
          <w:rFonts w:ascii="Arial" w:hAnsi="Arial" w:cs="Arial"/>
          <w:b/>
          <w:bCs/>
          <w:sz w:val="32"/>
          <w:szCs w:val="32"/>
        </w:rPr>
      </w:pPr>
      <w:bookmarkStart w:id="0" w:name="_Hlk207286355"/>
      <w:r w:rsidRPr="00C87854">
        <w:rPr>
          <w:rFonts w:ascii="Arial" w:hAnsi="Arial" w:cs="Arial"/>
          <w:b/>
          <w:bCs/>
          <w:sz w:val="32"/>
          <w:szCs w:val="32"/>
        </w:rPr>
        <w:t xml:space="preserve">Antibiotic Stewardship Practices </w:t>
      </w:r>
      <w:r>
        <w:rPr>
          <w:rFonts w:ascii="Arial" w:hAnsi="Arial" w:cs="Arial"/>
          <w:b/>
          <w:bCs/>
          <w:sz w:val="32"/>
          <w:szCs w:val="32"/>
        </w:rPr>
        <w:t>i</w:t>
      </w:r>
      <w:r w:rsidRPr="00C87854">
        <w:rPr>
          <w:rFonts w:ascii="Arial" w:hAnsi="Arial" w:cs="Arial"/>
          <w:b/>
          <w:bCs/>
          <w:sz w:val="32"/>
          <w:szCs w:val="32"/>
        </w:rPr>
        <w:t xml:space="preserve">n </w:t>
      </w:r>
      <w:r w:rsidR="007F55AF">
        <w:rPr>
          <w:rFonts w:ascii="Arial" w:hAnsi="Arial" w:cs="Arial"/>
          <w:b/>
          <w:bCs/>
          <w:sz w:val="32"/>
          <w:szCs w:val="32"/>
        </w:rPr>
        <w:t>a District Hospital</w:t>
      </w:r>
      <w:r w:rsidRPr="00C87854">
        <w:rPr>
          <w:rFonts w:ascii="Arial" w:hAnsi="Arial" w:cs="Arial"/>
          <w:b/>
          <w:bCs/>
          <w:sz w:val="32"/>
          <w:szCs w:val="32"/>
        </w:rPr>
        <w:t xml:space="preserve">: A Retrospective Study </w:t>
      </w:r>
      <w:r>
        <w:rPr>
          <w:rFonts w:ascii="Arial" w:hAnsi="Arial" w:cs="Arial"/>
          <w:b/>
          <w:bCs/>
          <w:sz w:val="32"/>
          <w:szCs w:val="32"/>
        </w:rPr>
        <w:t>o</w:t>
      </w:r>
      <w:r w:rsidRPr="00C87854">
        <w:rPr>
          <w:rFonts w:ascii="Arial" w:hAnsi="Arial" w:cs="Arial"/>
          <w:b/>
          <w:bCs/>
          <w:sz w:val="32"/>
          <w:szCs w:val="32"/>
        </w:rPr>
        <w:t xml:space="preserve">f </w:t>
      </w:r>
      <w:r>
        <w:rPr>
          <w:rFonts w:ascii="Arial" w:hAnsi="Arial" w:cs="Arial"/>
          <w:b/>
          <w:bCs/>
          <w:sz w:val="32"/>
          <w:szCs w:val="32"/>
        </w:rPr>
        <w:t>the IV-to-Oral</w:t>
      </w:r>
      <w:r w:rsidRPr="00C87854">
        <w:rPr>
          <w:rFonts w:ascii="Arial" w:hAnsi="Arial" w:cs="Arial"/>
          <w:b/>
          <w:bCs/>
          <w:sz w:val="32"/>
          <w:szCs w:val="32"/>
        </w:rPr>
        <w:t xml:space="preserve"> Switch (I</w:t>
      </w:r>
      <w:r>
        <w:rPr>
          <w:rFonts w:ascii="Arial" w:hAnsi="Arial" w:cs="Arial"/>
          <w:b/>
          <w:bCs/>
          <w:sz w:val="32"/>
          <w:szCs w:val="32"/>
        </w:rPr>
        <w:t>VOS</w:t>
      </w:r>
      <w:r w:rsidRPr="00C87854">
        <w:rPr>
          <w:rFonts w:ascii="Arial" w:hAnsi="Arial" w:cs="Arial"/>
          <w:b/>
          <w:bCs/>
          <w:sz w:val="32"/>
          <w:szCs w:val="32"/>
        </w:rPr>
        <w:t xml:space="preserve">) </w:t>
      </w:r>
      <w:r>
        <w:rPr>
          <w:rFonts w:ascii="Arial" w:hAnsi="Arial" w:cs="Arial"/>
          <w:b/>
          <w:bCs/>
          <w:sz w:val="32"/>
          <w:szCs w:val="32"/>
        </w:rPr>
        <w:t>i</w:t>
      </w:r>
      <w:r w:rsidRPr="00C87854">
        <w:rPr>
          <w:rFonts w:ascii="Arial" w:hAnsi="Arial" w:cs="Arial"/>
          <w:b/>
          <w:bCs/>
          <w:sz w:val="32"/>
          <w:szCs w:val="32"/>
        </w:rPr>
        <w:t xml:space="preserve">n </w:t>
      </w:r>
      <w:proofErr w:type="spellStart"/>
      <w:r w:rsidRPr="00C87854">
        <w:rPr>
          <w:rFonts w:ascii="Arial" w:hAnsi="Arial" w:cs="Arial"/>
          <w:b/>
          <w:bCs/>
          <w:sz w:val="32"/>
          <w:szCs w:val="32"/>
        </w:rPr>
        <w:t>Orthopaedic</w:t>
      </w:r>
      <w:proofErr w:type="spellEnd"/>
      <w:r w:rsidRPr="00C87854">
        <w:rPr>
          <w:rFonts w:ascii="Arial" w:hAnsi="Arial" w:cs="Arial"/>
          <w:b/>
          <w:bCs/>
          <w:sz w:val="32"/>
          <w:szCs w:val="32"/>
        </w:rPr>
        <w:t xml:space="preserve"> Patients</w:t>
      </w:r>
      <w:bookmarkEnd w:id="0"/>
    </w:p>
    <w:p w14:paraId="1E6FC21E" w14:textId="0C2D122E" w:rsidR="00731C90" w:rsidRPr="00731C90" w:rsidRDefault="00731C90" w:rsidP="00731C90">
      <w:pPr>
        <w:jc w:val="center"/>
        <w:rPr>
          <w:rFonts w:ascii="Arial" w:hAnsi="Arial" w:cs="Arial"/>
        </w:rPr>
      </w:pPr>
      <w:r w:rsidRPr="00731C90">
        <w:rPr>
          <w:rFonts w:ascii="Arial" w:hAnsi="Arial" w:cs="Arial"/>
        </w:rPr>
        <w:t xml:space="preserve">NMRR ID-25-01094-OWO </w:t>
      </w:r>
    </w:p>
    <w:p w14:paraId="251A5710" w14:textId="510DD40F" w:rsidR="00C87854" w:rsidRDefault="00C87854" w:rsidP="00C87854">
      <w:pPr>
        <w:jc w:val="center"/>
        <w:rPr>
          <w:rFonts w:ascii="Arial" w:hAnsi="Arial" w:cs="Arial"/>
        </w:rPr>
      </w:pPr>
      <w:r w:rsidRPr="00A90554">
        <w:rPr>
          <w:rFonts w:ascii="Arial" w:hAnsi="Arial" w:cs="Arial"/>
          <w:u w:val="thick"/>
        </w:rPr>
        <w:t>Wan Mohd Akmal Bin Wan Sabri</w:t>
      </w:r>
      <w:r w:rsidRPr="00A90554">
        <w:rPr>
          <w:rFonts w:ascii="Arial" w:hAnsi="Arial" w:cs="Arial"/>
          <w:vertAlign w:val="superscript"/>
        </w:rPr>
        <w:t>1,2</w:t>
      </w:r>
      <w:r>
        <w:rPr>
          <w:rFonts w:ascii="Arial" w:hAnsi="Arial" w:cs="Arial"/>
        </w:rPr>
        <w:t xml:space="preserve">, </w:t>
      </w:r>
      <w:proofErr w:type="spellStart"/>
      <w:r>
        <w:rPr>
          <w:rFonts w:ascii="Arial" w:hAnsi="Arial" w:cs="Arial"/>
        </w:rPr>
        <w:t>Janattul</w:t>
      </w:r>
      <w:proofErr w:type="spellEnd"/>
      <w:r>
        <w:rPr>
          <w:rFonts w:ascii="Arial" w:hAnsi="Arial" w:cs="Arial"/>
        </w:rPr>
        <w:t xml:space="preserve"> Ain Binti Jamal</w:t>
      </w:r>
      <w:r w:rsidRPr="00A90554">
        <w:rPr>
          <w:rFonts w:ascii="Arial" w:hAnsi="Arial" w:cs="Arial"/>
          <w:vertAlign w:val="superscript"/>
        </w:rPr>
        <w:t>2</w:t>
      </w:r>
      <w:r>
        <w:rPr>
          <w:rFonts w:ascii="Arial" w:hAnsi="Arial" w:cs="Arial"/>
        </w:rPr>
        <w:t>, Lai Kai Ling</w:t>
      </w:r>
      <w:r w:rsidR="00A90554" w:rsidRPr="00A90554">
        <w:rPr>
          <w:rFonts w:ascii="Arial" w:hAnsi="Arial" w:cs="Arial"/>
          <w:vertAlign w:val="superscript"/>
        </w:rPr>
        <w:t>1</w:t>
      </w:r>
      <w:r>
        <w:rPr>
          <w:rFonts w:ascii="Arial" w:hAnsi="Arial" w:cs="Arial"/>
        </w:rPr>
        <w:t xml:space="preserve">, Gobi </w:t>
      </w:r>
      <w:proofErr w:type="spellStart"/>
      <w:r>
        <w:rPr>
          <w:rFonts w:ascii="Arial" w:hAnsi="Arial" w:cs="Arial"/>
        </w:rPr>
        <w:t>Hariyanayagam</w:t>
      </w:r>
      <w:proofErr w:type="spellEnd"/>
      <w:r w:rsidR="00A90554">
        <w:rPr>
          <w:rFonts w:ascii="Arial" w:hAnsi="Arial" w:cs="Arial"/>
        </w:rPr>
        <w:t xml:space="preserve"> A/L Gunasekaran</w:t>
      </w:r>
      <w:r w:rsidR="00A90554" w:rsidRPr="00A90554">
        <w:rPr>
          <w:rFonts w:ascii="Arial" w:hAnsi="Arial" w:cs="Arial"/>
          <w:vertAlign w:val="superscript"/>
        </w:rPr>
        <w:t>3</w:t>
      </w:r>
    </w:p>
    <w:p w14:paraId="3275B3E2" w14:textId="030BF5AC" w:rsidR="00A90554" w:rsidRPr="00D0034D" w:rsidRDefault="00A90554" w:rsidP="00A90554">
      <w:pPr>
        <w:spacing w:after="0"/>
        <w:rPr>
          <w:rFonts w:ascii="Arial" w:hAnsi="Arial" w:cs="Arial"/>
          <w:i/>
          <w:iCs/>
        </w:rPr>
      </w:pPr>
      <w:r w:rsidRPr="00D0034D">
        <w:rPr>
          <w:rFonts w:ascii="Arial" w:hAnsi="Arial" w:cs="Arial"/>
          <w:i/>
          <w:iCs/>
          <w:vertAlign w:val="superscript"/>
        </w:rPr>
        <w:t>1</w:t>
      </w:r>
      <w:r w:rsidRPr="00D0034D">
        <w:rPr>
          <w:rFonts w:ascii="Arial" w:hAnsi="Arial" w:cs="Arial"/>
          <w:i/>
          <w:iCs/>
        </w:rPr>
        <w:t>Pharmacy Department, Hospital Seri Manjung, Perak</w:t>
      </w:r>
    </w:p>
    <w:p w14:paraId="2F385A22" w14:textId="41272998" w:rsidR="00A90554" w:rsidRPr="00D0034D" w:rsidRDefault="00A90554" w:rsidP="00A90554">
      <w:pPr>
        <w:spacing w:after="0"/>
        <w:rPr>
          <w:rFonts w:ascii="Arial" w:hAnsi="Arial" w:cs="Arial"/>
          <w:i/>
          <w:iCs/>
        </w:rPr>
      </w:pPr>
      <w:r w:rsidRPr="00D0034D">
        <w:rPr>
          <w:rFonts w:ascii="Arial" w:hAnsi="Arial" w:cs="Arial"/>
          <w:i/>
          <w:iCs/>
          <w:vertAlign w:val="superscript"/>
        </w:rPr>
        <w:t>2</w:t>
      </w:r>
      <w:r w:rsidRPr="00D0034D">
        <w:rPr>
          <w:rFonts w:ascii="Arial" w:hAnsi="Arial" w:cs="Arial"/>
          <w:i/>
          <w:iCs/>
        </w:rPr>
        <w:t xml:space="preserve">Faculty of Pharmacy, UiTM </w:t>
      </w:r>
      <w:proofErr w:type="spellStart"/>
      <w:r w:rsidRPr="00D0034D">
        <w:rPr>
          <w:rFonts w:ascii="Arial" w:hAnsi="Arial" w:cs="Arial"/>
          <w:i/>
          <w:iCs/>
        </w:rPr>
        <w:t>Puncak</w:t>
      </w:r>
      <w:proofErr w:type="spellEnd"/>
      <w:r w:rsidRPr="00D0034D">
        <w:rPr>
          <w:rFonts w:ascii="Arial" w:hAnsi="Arial" w:cs="Arial"/>
          <w:i/>
          <w:iCs/>
        </w:rPr>
        <w:t xml:space="preserve"> Alam, Selangor</w:t>
      </w:r>
    </w:p>
    <w:p w14:paraId="68A8A218" w14:textId="2CBF9835" w:rsidR="00A90554" w:rsidRDefault="00A90554" w:rsidP="00A90554">
      <w:pPr>
        <w:spacing w:after="0"/>
        <w:rPr>
          <w:rFonts w:ascii="Arial" w:hAnsi="Arial" w:cs="Arial"/>
          <w:lang w:val="ms"/>
        </w:rPr>
      </w:pPr>
      <w:r w:rsidRPr="00D0034D">
        <w:rPr>
          <w:rFonts w:ascii="Arial" w:hAnsi="Arial" w:cs="Arial"/>
          <w:i/>
          <w:iCs/>
          <w:vertAlign w:val="superscript"/>
        </w:rPr>
        <w:t>3</w:t>
      </w:r>
      <w:r w:rsidRPr="00D0034D">
        <w:rPr>
          <w:rFonts w:ascii="Arial" w:hAnsi="Arial" w:cs="Arial"/>
          <w:i/>
          <w:iCs/>
          <w:lang w:val="ms"/>
        </w:rPr>
        <w:t>Dept of Clinical Pharmacy, Faculty of Pharmacy, University Malaya, Kuala Lumpur</w:t>
      </w:r>
    </w:p>
    <w:p w14:paraId="03B1950D" w14:textId="0B7CF564" w:rsidR="00A90554" w:rsidRDefault="00A90554" w:rsidP="00A90554">
      <w:pPr>
        <w:rPr>
          <w:rFonts w:ascii="Arial" w:hAnsi="Arial" w:cs="Arial"/>
          <w:lang w:val="ms"/>
        </w:rPr>
      </w:pPr>
    </w:p>
    <w:p w14:paraId="22E3ACFB" w14:textId="4DC8E7B8" w:rsidR="00A90554" w:rsidRDefault="00A90554" w:rsidP="00285D8E">
      <w:pPr>
        <w:jc w:val="both"/>
        <w:rPr>
          <w:rFonts w:ascii="Arial" w:hAnsi="Arial" w:cs="Arial"/>
          <w:sz w:val="20"/>
          <w:szCs w:val="20"/>
        </w:rPr>
      </w:pPr>
      <w:r w:rsidRPr="00835244">
        <w:rPr>
          <w:rFonts w:ascii="Arial" w:hAnsi="Arial" w:cs="Arial"/>
          <w:b/>
          <w:bCs/>
          <w:sz w:val="20"/>
          <w:szCs w:val="20"/>
          <w:lang w:val="ms"/>
        </w:rPr>
        <w:t>Background:</w:t>
      </w:r>
      <w:r w:rsidRPr="00835244">
        <w:rPr>
          <w:rFonts w:ascii="Arial" w:hAnsi="Arial" w:cs="Arial"/>
          <w:sz w:val="20"/>
          <w:szCs w:val="20"/>
          <w:lang w:val="ms"/>
        </w:rPr>
        <w:t xml:space="preserve"> </w:t>
      </w:r>
      <w:r w:rsidR="00285D8E" w:rsidRPr="00835244">
        <w:rPr>
          <w:rFonts w:ascii="Arial" w:hAnsi="Arial" w:cs="Arial"/>
          <w:sz w:val="20"/>
          <w:szCs w:val="20"/>
        </w:rPr>
        <w:t xml:space="preserve">One important AMS strategy is the intravenous-to-oral switch (IVOS), which involves transitioning parenteral to oral antimicrobials in clinically stable patients. Most guidelines suggest implementing IVOS within 24-48 hours after IV initiation. However, </w:t>
      </w:r>
      <w:r w:rsidR="00822F44">
        <w:rPr>
          <w:rFonts w:ascii="Arial" w:hAnsi="Arial" w:cs="Arial"/>
          <w:sz w:val="20"/>
          <w:szCs w:val="20"/>
        </w:rPr>
        <w:t xml:space="preserve">implementation is harder in </w:t>
      </w:r>
      <w:proofErr w:type="spellStart"/>
      <w:r w:rsidR="00822F44">
        <w:rPr>
          <w:rFonts w:ascii="Arial" w:hAnsi="Arial" w:cs="Arial"/>
          <w:sz w:val="20"/>
          <w:szCs w:val="20"/>
        </w:rPr>
        <w:t>orthopaedic</w:t>
      </w:r>
      <w:proofErr w:type="spellEnd"/>
      <w:r w:rsidR="00822F44">
        <w:rPr>
          <w:rFonts w:ascii="Arial" w:hAnsi="Arial" w:cs="Arial"/>
          <w:sz w:val="20"/>
          <w:szCs w:val="20"/>
        </w:rPr>
        <w:t xml:space="preserve"> settings, which include deep-seated and complicated infections, especially bone and joint infections (BJIs) such as osteomyelitis and septic arthritis</w:t>
      </w:r>
      <w:r w:rsidR="00285D8E" w:rsidRPr="00835244">
        <w:rPr>
          <w:rFonts w:ascii="Arial" w:hAnsi="Arial" w:cs="Arial"/>
          <w:sz w:val="20"/>
          <w:szCs w:val="20"/>
        </w:rPr>
        <w:t>.</w:t>
      </w:r>
    </w:p>
    <w:p w14:paraId="14BAB6F1" w14:textId="77777777" w:rsidR="00AD6F05" w:rsidRDefault="00822F44" w:rsidP="00AD6F05">
      <w:pPr>
        <w:jc w:val="both"/>
        <w:rPr>
          <w:rFonts w:ascii="Arial" w:hAnsi="Arial" w:cs="Arial"/>
          <w:sz w:val="20"/>
          <w:szCs w:val="20"/>
        </w:rPr>
      </w:pPr>
      <w:r w:rsidRPr="00306E11">
        <w:rPr>
          <w:rFonts w:ascii="Arial" w:hAnsi="Arial" w:cs="Arial"/>
          <w:b/>
          <w:bCs/>
          <w:sz w:val="20"/>
          <w:szCs w:val="20"/>
        </w:rPr>
        <w:t>Introduction:</w:t>
      </w:r>
      <w:r>
        <w:rPr>
          <w:rFonts w:ascii="Arial" w:hAnsi="Arial" w:cs="Arial"/>
          <w:sz w:val="20"/>
          <w:szCs w:val="20"/>
        </w:rPr>
        <w:t xml:space="preserve"> </w:t>
      </w:r>
      <w:r w:rsidR="00AD6F05" w:rsidRPr="00AD6F05">
        <w:rPr>
          <w:rFonts w:ascii="Arial" w:hAnsi="Arial" w:cs="Arial"/>
          <w:sz w:val="20"/>
          <w:szCs w:val="20"/>
        </w:rPr>
        <w:t xml:space="preserve">The primary reason for conducting this study was the limited data linking intravenous-to-oral switch (IVOS) practices in </w:t>
      </w:r>
      <w:proofErr w:type="spellStart"/>
      <w:r w:rsidR="00AD6F05" w:rsidRPr="00AD6F05">
        <w:rPr>
          <w:rFonts w:ascii="Arial" w:hAnsi="Arial" w:cs="Arial"/>
          <w:sz w:val="20"/>
          <w:szCs w:val="20"/>
        </w:rPr>
        <w:t>orthopaedic</w:t>
      </w:r>
      <w:proofErr w:type="spellEnd"/>
      <w:r w:rsidR="00AD6F05" w:rsidRPr="00AD6F05">
        <w:rPr>
          <w:rFonts w:ascii="Arial" w:hAnsi="Arial" w:cs="Arial"/>
          <w:sz w:val="20"/>
          <w:szCs w:val="20"/>
        </w:rPr>
        <w:t xml:space="preserve"> settings to clinical outcomes, including infection recurrence and hospital readmission. In addition, inconsistencies in IVOS practices and variations in the duration of antibiotic therapy remain important concerns in clinical management. Therefore, this study aimed to evaluate the prevalence and patterns of IVOS among </w:t>
      </w:r>
      <w:proofErr w:type="spellStart"/>
      <w:r w:rsidR="00AD6F05" w:rsidRPr="00AD6F05">
        <w:rPr>
          <w:rFonts w:ascii="Arial" w:hAnsi="Arial" w:cs="Arial"/>
          <w:sz w:val="20"/>
          <w:szCs w:val="20"/>
        </w:rPr>
        <w:t>orthopaedic</w:t>
      </w:r>
      <w:proofErr w:type="spellEnd"/>
      <w:r w:rsidR="00AD6F05" w:rsidRPr="00AD6F05">
        <w:rPr>
          <w:rFonts w:ascii="Arial" w:hAnsi="Arial" w:cs="Arial"/>
          <w:sz w:val="20"/>
          <w:szCs w:val="20"/>
        </w:rPr>
        <w:t xml:space="preserve"> patients, determine the association between IVOS and clinical outcomes such as treatment outcomes, relapse events, hospital readmission, and length of hospital stay (LOS), as well as identify significant predictors associated with these clinical outcomes.</w:t>
      </w:r>
    </w:p>
    <w:p w14:paraId="55A2C38F" w14:textId="73440D2F" w:rsidR="003D01A6" w:rsidRPr="00835244" w:rsidRDefault="003D01A6" w:rsidP="00AD6F05">
      <w:pPr>
        <w:jc w:val="both"/>
        <w:rPr>
          <w:rFonts w:ascii="Arial" w:hAnsi="Arial" w:cs="Arial"/>
          <w:sz w:val="20"/>
          <w:szCs w:val="20"/>
        </w:rPr>
      </w:pPr>
      <w:r w:rsidRPr="00835244">
        <w:rPr>
          <w:rFonts w:ascii="Arial" w:hAnsi="Arial" w:cs="Arial"/>
          <w:b/>
          <w:bCs/>
          <w:sz w:val="20"/>
          <w:szCs w:val="20"/>
          <w:lang w:val="en-MY"/>
        </w:rPr>
        <w:t>Methods:</w:t>
      </w:r>
      <w:r w:rsidRPr="00835244">
        <w:rPr>
          <w:rFonts w:ascii="Arial" w:hAnsi="Arial" w:cs="Arial"/>
          <w:sz w:val="20"/>
          <w:szCs w:val="20"/>
          <w:lang w:val="en-MY"/>
        </w:rPr>
        <w:t xml:space="preserve"> </w:t>
      </w:r>
      <w:r w:rsidRPr="00835244">
        <w:rPr>
          <w:rFonts w:ascii="Arial" w:hAnsi="Arial" w:cs="Arial"/>
          <w:sz w:val="20"/>
          <w:szCs w:val="20"/>
        </w:rPr>
        <w:t xml:space="preserve">A retrospective cohort study was conducted </w:t>
      </w:r>
      <w:r w:rsidR="00000846">
        <w:rPr>
          <w:rFonts w:ascii="Arial" w:hAnsi="Arial" w:cs="Arial"/>
          <w:sz w:val="20"/>
          <w:szCs w:val="20"/>
        </w:rPr>
        <w:t xml:space="preserve">by purposive sampling </w:t>
      </w:r>
      <w:r w:rsidRPr="00835244">
        <w:rPr>
          <w:rFonts w:ascii="Arial" w:hAnsi="Arial" w:cs="Arial"/>
          <w:sz w:val="20"/>
          <w:szCs w:val="20"/>
        </w:rPr>
        <w:t xml:space="preserve">among patients admitted with </w:t>
      </w:r>
      <w:proofErr w:type="spellStart"/>
      <w:r w:rsidRPr="00835244">
        <w:rPr>
          <w:rFonts w:ascii="Arial" w:hAnsi="Arial" w:cs="Arial"/>
          <w:sz w:val="20"/>
          <w:szCs w:val="20"/>
        </w:rPr>
        <w:t>orthopaedic</w:t>
      </w:r>
      <w:proofErr w:type="spellEnd"/>
      <w:r w:rsidRPr="00835244">
        <w:rPr>
          <w:rFonts w:ascii="Arial" w:hAnsi="Arial" w:cs="Arial"/>
          <w:sz w:val="20"/>
          <w:szCs w:val="20"/>
        </w:rPr>
        <w:t xml:space="preserve"> infections</w:t>
      </w:r>
      <w:r w:rsidR="00000846">
        <w:rPr>
          <w:rFonts w:ascii="Arial" w:hAnsi="Arial" w:cs="Arial"/>
          <w:sz w:val="20"/>
          <w:szCs w:val="20"/>
        </w:rPr>
        <w:t xml:space="preserve"> in an </w:t>
      </w:r>
      <w:proofErr w:type="spellStart"/>
      <w:r w:rsidR="00000846">
        <w:rPr>
          <w:rFonts w:ascii="Arial" w:hAnsi="Arial" w:cs="Arial"/>
          <w:sz w:val="20"/>
          <w:szCs w:val="20"/>
        </w:rPr>
        <w:t>orthopaedic</w:t>
      </w:r>
      <w:proofErr w:type="spellEnd"/>
      <w:r w:rsidR="00000846">
        <w:rPr>
          <w:rFonts w:ascii="Arial" w:hAnsi="Arial" w:cs="Arial"/>
          <w:sz w:val="20"/>
          <w:szCs w:val="20"/>
        </w:rPr>
        <w:t xml:space="preserve"> ward from June to October 2024, where all patients who met the criteria were included in the study</w:t>
      </w:r>
      <w:r w:rsidRPr="00835244">
        <w:rPr>
          <w:rFonts w:ascii="Arial" w:hAnsi="Arial" w:cs="Arial"/>
          <w:sz w:val="20"/>
          <w:szCs w:val="20"/>
        </w:rPr>
        <w:t xml:space="preserve">. </w:t>
      </w:r>
      <w:r w:rsidR="00000846" w:rsidRPr="00000846">
        <w:rPr>
          <w:rFonts w:ascii="Arial" w:hAnsi="Arial" w:cs="Arial"/>
          <w:sz w:val="20"/>
          <w:szCs w:val="20"/>
        </w:rPr>
        <w:t>Data obtained by reviewing retrospective information from the ward census, patients’ bed head tickets (BHT), and medication information in the Pharmacy Information System (</w:t>
      </w:r>
      <w:proofErr w:type="spellStart"/>
      <w:r w:rsidR="00000846" w:rsidRPr="00000846">
        <w:rPr>
          <w:rFonts w:ascii="Arial" w:hAnsi="Arial" w:cs="Arial"/>
          <w:sz w:val="20"/>
          <w:szCs w:val="20"/>
        </w:rPr>
        <w:t>PhIS</w:t>
      </w:r>
      <w:proofErr w:type="spellEnd"/>
      <w:r w:rsidR="00000846" w:rsidRPr="00000846">
        <w:rPr>
          <w:rFonts w:ascii="Arial" w:hAnsi="Arial" w:cs="Arial"/>
          <w:sz w:val="20"/>
          <w:szCs w:val="20"/>
        </w:rPr>
        <w:t>)</w:t>
      </w:r>
      <w:r w:rsidR="00000846">
        <w:rPr>
          <w:rFonts w:ascii="Arial" w:hAnsi="Arial" w:cs="Arial"/>
          <w:sz w:val="20"/>
          <w:szCs w:val="20"/>
        </w:rPr>
        <w:t xml:space="preserve">. </w:t>
      </w:r>
      <w:r w:rsidRPr="00835244">
        <w:rPr>
          <w:rFonts w:ascii="Arial" w:hAnsi="Arial" w:cs="Arial"/>
          <w:sz w:val="20"/>
          <w:szCs w:val="20"/>
        </w:rPr>
        <w:t xml:space="preserve">Descriptive and frequency analysis were used to </w:t>
      </w:r>
      <w:proofErr w:type="spellStart"/>
      <w:r w:rsidRPr="00835244">
        <w:rPr>
          <w:rFonts w:ascii="Arial" w:hAnsi="Arial" w:cs="Arial"/>
          <w:sz w:val="20"/>
          <w:szCs w:val="20"/>
        </w:rPr>
        <w:t>analyse</w:t>
      </w:r>
      <w:proofErr w:type="spellEnd"/>
      <w:r w:rsidRPr="00835244">
        <w:rPr>
          <w:rFonts w:ascii="Arial" w:hAnsi="Arial" w:cs="Arial"/>
          <w:sz w:val="20"/>
          <w:szCs w:val="20"/>
        </w:rPr>
        <w:t xml:space="preserve"> patients’ demographic data, antibiotic usage data, and clinical outcome data. Univariate followed by multivariate regression </w:t>
      </w:r>
      <w:r w:rsidR="00822F44">
        <w:rPr>
          <w:rFonts w:ascii="Arial" w:hAnsi="Arial" w:cs="Arial"/>
          <w:sz w:val="20"/>
          <w:szCs w:val="20"/>
        </w:rPr>
        <w:t>was</w:t>
      </w:r>
      <w:r w:rsidRPr="00835244">
        <w:rPr>
          <w:rFonts w:ascii="Arial" w:hAnsi="Arial" w:cs="Arial"/>
          <w:sz w:val="20"/>
          <w:szCs w:val="20"/>
        </w:rPr>
        <w:t xml:space="preserve"> used to identify the association of IVOS with clinical outcomes and to identify significant predictors.</w:t>
      </w:r>
    </w:p>
    <w:p w14:paraId="49228B7E" w14:textId="1BFB3E7C" w:rsidR="00D0034D" w:rsidRPr="00835244" w:rsidRDefault="00D0034D" w:rsidP="00D0034D">
      <w:pPr>
        <w:jc w:val="both"/>
        <w:rPr>
          <w:rFonts w:ascii="Arial" w:hAnsi="Arial" w:cs="Arial"/>
          <w:sz w:val="20"/>
          <w:szCs w:val="20"/>
        </w:rPr>
      </w:pPr>
      <w:r w:rsidRPr="00835244">
        <w:rPr>
          <w:rFonts w:ascii="Arial" w:hAnsi="Arial" w:cs="Arial"/>
          <w:b/>
          <w:bCs/>
          <w:sz w:val="20"/>
          <w:szCs w:val="20"/>
        </w:rPr>
        <w:t>Results:</w:t>
      </w:r>
      <w:r w:rsidRPr="00835244">
        <w:rPr>
          <w:rFonts w:ascii="Arial" w:hAnsi="Arial" w:cs="Arial"/>
          <w:sz w:val="20"/>
          <w:szCs w:val="20"/>
        </w:rPr>
        <w:t xml:space="preserve"> Out of 198 patients included, most of them were around 60 years old Malay males, with comorbidities, especially with diabetes mellitus (DM), and hypertension. The majority of patients admitted with skin &amp; soft tissue infections (SSTIs), compared to </w:t>
      </w:r>
      <w:r w:rsidR="00A140A0" w:rsidRPr="00835244">
        <w:rPr>
          <w:rFonts w:ascii="Arial" w:hAnsi="Arial" w:cs="Arial"/>
          <w:sz w:val="20"/>
          <w:szCs w:val="20"/>
        </w:rPr>
        <w:t xml:space="preserve">other infections. </w:t>
      </w:r>
      <w:r w:rsidRPr="00835244">
        <w:rPr>
          <w:rFonts w:ascii="Arial" w:hAnsi="Arial" w:cs="Arial"/>
          <w:sz w:val="20"/>
          <w:szCs w:val="20"/>
        </w:rPr>
        <w:t>IVOS was implemented in 70.7% of cases, mostly within 24-96 hours after intravenous (IV) antibiotic initiation, reflecting adherence to stewardship criteria. Multivariate analysis identified patients with DM, followed by cardiovascular disease (CVD), associated with incomplete treatment. SSTIs, especially abscesses and cellulitis, respond more to treatment. The relapse event contributed by patients with CVD and an increase in oral antibiotics duration. Patients with underlying hypertension are at a higher risk of readmission to the hospital, while IVOS 24-96 hours after IV therapy initiation contributed to lower rehospitalization.</w:t>
      </w:r>
    </w:p>
    <w:p w14:paraId="2A800369" w14:textId="5963BE7D" w:rsidR="00D0034D" w:rsidRPr="00835244" w:rsidRDefault="00D0034D" w:rsidP="00D0034D">
      <w:pPr>
        <w:jc w:val="both"/>
        <w:rPr>
          <w:rFonts w:ascii="Arial" w:hAnsi="Arial" w:cs="Arial"/>
          <w:sz w:val="20"/>
          <w:szCs w:val="20"/>
        </w:rPr>
      </w:pPr>
      <w:r w:rsidRPr="00835244">
        <w:rPr>
          <w:rFonts w:ascii="Arial" w:hAnsi="Arial" w:cs="Arial"/>
          <w:b/>
          <w:bCs/>
          <w:sz w:val="20"/>
          <w:szCs w:val="20"/>
        </w:rPr>
        <w:t>Conclusion:</w:t>
      </w:r>
      <w:r w:rsidRPr="00835244">
        <w:rPr>
          <w:rFonts w:ascii="Arial" w:hAnsi="Arial" w:cs="Arial"/>
          <w:sz w:val="20"/>
          <w:szCs w:val="20"/>
        </w:rPr>
        <w:t xml:space="preserve"> Comorbidities, especially DM, hypertension, CVD, and renal impairment, are important considerations in treating </w:t>
      </w:r>
      <w:proofErr w:type="spellStart"/>
      <w:r w:rsidRPr="00835244">
        <w:rPr>
          <w:rFonts w:ascii="Arial" w:hAnsi="Arial" w:cs="Arial"/>
          <w:sz w:val="20"/>
          <w:szCs w:val="20"/>
        </w:rPr>
        <w:t>orthopaedic</w:t>
      </w:r>
      <w:proofErr w:type="spellEnd"/>
      <w:r w:rsidRPr="00835244">
        <w:rPr>
          <w:rFonts w:ascii="Arial" w:hAnsi="Arial" w:cs="Arial"/>
          <w:sz w:val="20"/>
          <w:szCs w:val="20"/>
        </w:rPr>
        <w:t xml:space="preserve"> infections. IVOS implementation needs to be strengthened to be done </w:t>
      </w:r>
      <w:r w:rsidR="00285D8E" w:rsidRPr="00835244">
        <w:rPr>
          <w:rFonts w:ascii="Arial" w:hAnsi="Arial" w:cs="Arial"/>
          <w:sz w:val="20"/>
          <w:szCs w:val="20"/>
        </w:rPr>
        <w:t>within</w:t>
      </w:r>
      <w:r w:rsidRPr="00835244">
        <w:rPr>
          <w:rFonts w:ascii="Arial" w:hAnsi="Arial" w:cs="Arial"/>
          <w:sz w:val="20"/>
          <w:szCs w:val="20"/>
        </w:rPr>
        <w:t xml:space="preserve"> 24-96 hours after IV antibiotic initiation.</w:t>
      </w:r>
    </w:p>
    <w:sectPr w:rsidR="00D0034D" w:rsidRPr="00835244" w:rsidSect="00835244">
      <w:pgSz w:w="12240" w:h="15840"/>
      <w:pgMar w:top="900" w:right="1440" w:bottom="63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F47266"/>
    <w:multiLevelType w:val="hybridMultilevel"/>
    <w:tmpl w:val="11ECCF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4B750DA"/>
    <w:multiLevelType w:val="hybridMultilevel"/>
    <w:tmpl w:val="B77805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0098096">
    <w:abstractNumId w:val="1"/>
  </w:num>
  <w:num w:numId="2" w16cid:durableId="1039741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854"/>
    <w:rsid w:val="00000846"/>
    <w:rsid w:val="0016162D"/>
    <w:rsid w:val="00192C1B"/>
    <w:rsid w:val="00242740"/>
    <w:rsid w:val="00285D8E"/>
    <w:rsid w:val="002A393D"/>
    <w:rsid w:val="00306E11"/>
    <w:rsid w:val="003D01A6"/>
    <w:rsid w:val="00400825"/>
    <w:rsid w:val="00494AF3"/>
    <w:rsid w:val="00581C5B"/>
    <w:rsid w:val="00685DB9"/>
    <w:rsid w:val="00731C90"/>
    <w:rsid w:val="007E4932"/>
    <w:rsid w:val="007F55AF"/>
    <w:rsid w:val="00822F44"/>
    <w:rsid w:val="00835244"/>
    <w:rsid w:val="00842F0B"/>
    <w:rsid w:val="008B3B75"/>
    <w:rsid w:val="00A140A0"/>
    <w:rsid w:val="00A40F14"/>
    <w:rsid w:val="00A90554"/>
    <w:rsid w:val="00AC66DA"/>
    <w:rsid w:val="00AD6F05"/>
    <w:rsid w:val="00AD79E5"/>
    <w:rsid w:val="00B20042"/>
    <w:rsid w:val="00C87854"/>
    <w:rsid w:val="00D0034D"/>
    <w:rsid w:val="00D22DFD"/>
    <w:rsid w:val="00D66AB3"/>
    <w:rsid w:val="00E15F3B"/>
    <w:rsid w:val="00EC0A7B"/>
    <w:rsid w:val="00FD36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DBE14"/>
  <w15:chartTrackingRefBased/>
  <w15:docId w15:val="{E9B0DAF5-DEE6-45A9-B065-EF67EF584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8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78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78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78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78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78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8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8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8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8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78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78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78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78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78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8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8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854"/>
    <w:rPr>
      <w:rFonts w:eastAsiaTheme="majorEastAsia" w:cstheme="majorBidi"/>
      <w:color w:val="272727" w:themeColor="text1" w:themeTint="D8"/>
    </w:rPr>
  </w:style>
  <w:style w:type="paragraph" w:styleId="Title">
    <w:name w:val="Title"/>
    <w:basedOn w:val="Normal"/>
    <w:next w:val="Normal"/>
    <w:link w:val="TitleChar"/>
    <w:uiPriority w:val="10"/>
    <w:qFormat/>
    <w:rsid w:val="00C878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8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8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8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854"/>
    <w:pPr>
      <w:spacing w:before="160"/>
      <w:jc w:val="center"/>
    </w:pPr>
    <w:rPr>
      <w:i/>
      <w:iCs/>
      <w:color w:val="404040" w:themeColor="text1" w:themeTint="BF"/>
    </w:rPr>
  </w:style>
  <w:style w:type="character" w:customStyle="1" w:styleId="QuoteChar">
    <w:name w:val="Quote Char"/>
    <w:basedOn w:val="DefaultParagraphFont"/>
    <w:link w:val="Quote"/>
    <w:uiPriority w:val="29"/>
    <w:rsid w:val="00C87854"/>
    <w:rPr>
      <w:i/>
      <w:iCs/>
      <w:color w:val="404040" w:themeColor="text1" w:themeTint="BF"/>
    </w:rPr>
  </w:style>
  <w:style w:type="paragraph" w:styleId="ListParagraph">
    <w:name w:val="List Paragraph"/>
    <w:basedOn w:val="Normal"/>
    <w:uiPriority w:val="34"/>
    <w:qFormat/>
    <w:rsid w:val="00C87854"/>
    <w:pPr>
      <w:ind w:left="720"/>
      <w:contextualSpacing/>
    </w:pPr>
  </w:style>
  <w:style w:type="character" w:styleId="IntenseEmphasis">
    <w:name w:val="Intense Emphasis"/>
    <w:basedOn w:val="DefaultParagraphFont"/>
    <w:uiPriority w:val="21"/>
    <w:qFormat/>
    <w:rsid w:val="00C87854"/>
    <w:rPr>
      <w:i/>
      <w:iCs/>
      <w:color w:val="2F5496" w:themeColor="accent1" w:themeShade="BF"/>
    </w:rPr>
  </w:style>
  <w:style w:type="paragraph" w:styleId="IntenseQuote">
    <w:name w:val="Intense Quote"/>
    <w:basedOn w:val="Normal"/>
    <w:next w:val="Normal"/>
    <w:link w:val="IntenseQuoteChar"/>
    <w:uiPriority w:val="30"/>
    <w:qFormat/>
    <w:rsid w:val="00C878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7854"/>
    <w:rPr>
      <w:i/>
      <w:iCs/>
      <w:color w:val="2F5496" w:themeColor="accent1" w:themeShade="BF"/>
    </w:rPr>
  </w:style>
  <w:style w:type="character" w:styleId="IntenseReference">
    <w:name w:val="Intense Reference"/>
    <w:basedOn w:val="DefaultParagraphFont"/>
    <w:uiPriority w:val="32"/>
    <w:qFormat/>
    <w:rsid w:val="00C878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526</Words>
  <Characters>2999</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David Chang Chee Tao</cp:lastModifiedBy>
  <cp:revision>2</cp:revision>
  <dcterms:created xsi:type="dcterms:W3CDTF">2026-05-21T01:04:00Z</dcterms:created>
  <dcterms:modified xsi:type="dcterms:W3CDTF">2026-05-21T01:04:00Z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5e950258-0a41-4624-9fd9-6131cdad76af</vt:lpwstr>
  </property>
</Properties>
</file>